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4A1EC">
      <w:pPr>
        <w:jc w:val="center"/>
        <w:rPr>
          <w:rFonts w:hint="eastAsia" w:ascii="Times New Roman" w:hAnsi="Times New Roman" w:eastAsia="仿宋" w:cs="Times New Roman"/>
          <w:b/>
          <w:sz w:val="36"/>
          <w:szCs w:val="36"/>
          <w:lang w:val="en-US" w:eastAsia="zh-CN"/>
        </w:rPr>
      </w:pPr>
      <w:r>
        <w:rPr>
          <w:rFonts w:hint="eastAsia" w:ascii="Times New Roman" w:hAnsi="Times New Roman" w:eastAsia="仿宋" w:cs="Times New Roman"/>
          <w:b/>
          <w:sz w:val="36"/>
          <w:szCs w:val="36"/>
          <w:lang w:val="en-US" w:eastAsia="zh-CN"/>
        </w:rPr>
        <w:t xml:space="preserve"> </w:t>
      </w:r>
    </w:p>
    <w:p w14:paraId="151D975D">
      <w:pPr>
        <w:jc w:val="center"/>
        <w:rPr>
          <w:rFonts w:hint="default" w:ascii="Times New Roman" w:hAnsi="Times New Roman" w:eastAsia="仿宋" w:cs="Times New Roman"/>
          <w:b/>
          <w:sz w:val="36"/>
          <w:szCs w:val="36"/>
        </w:rPr>
      </w:pPr>
    </w:p>
    <w:p w14:paraId="351EF603">
      <w:pPr>
        <w:pStyle w:val="6"/>
        <w:spacing w:line="600" w:lineRule="exact"/>
        <w:rPr>
          <w:rFonts w:hint="default" w:ascii="Times New Roman" w:hAnsi="Times New Roman" w:cs="Times New Roman"/>
        </w:rPr>
      </w:pPr>
    </w:p>
    <w:p w14:paraId="4F54B9BB">
      <w:pPr>
        <w:widowControl/>
        <w:spacing w:line="600" w:lineRule="exact"/>
        <w:jc w:val="center"/>
        <w:rPr>
          <w:rFonts w:hint="eastAsia" w:ascii="方正小标宋简体" w:hAnsi="方正小标宋简体" w:eastAsia="方正小标宋简体" w:cs="方正小标宋简体"/>
          <w:b w:val="0"/>
          <w:bCs/>
          <w:sz w:val="44"/>
          <w:szCs w:val="44"/>
          <w:lang w:eastAsia="zh-CN"/>
        </w:rPr>
      </w:pPr>
      <w:bookmarkStart w:id="0" w:name="_Toc21039"/>
      <w:bookmarkStart w:id="1" w:name="_Toc23411"/>
      <w:r>
        <w:rPr>
          <w:rFonts w:hint="eastAsia" w:ascii="方正小标宋简体" w:hAnsi="方正小标宋简体" w:eastAsia="方正小标宋简体" w:cs="方正小标宋简体"/>
          <w:b w:val="0"/>
          <w:bCs/>
          <w:sz w:val="44"/>
          <w:szCs w:val="44"/>
          <w:lang w:val="en-US" w:eastAsia="zh-CN"/>
        </w:rPr>
        <w:t>明溪县</w:t>
      </w:r>
      <w:r>
        <w:rPr>
          <w:rFonts w:hint="eastAsia" w:ascii="方正小标宋简体" w:hAnsi="方正小标宋简体" w:eastAsia="方正小标宋简体" w:cs="方正小标宋简体"/>
          <w:b w:val="0"/>
          <w:bCs/>
          <w:sz w:val="44"/>
          <w:szCs w:val="44"/>
          <w:lang w:eastAsia="zh-CN"/>
        </w:rPr>
        <w:t>中医药</w:t>
      </w:r>
      <w:r>
        <w:rPr>
          <w:rFonts w:hint="eastAsia" w:ascii="方正小标宋简体" w:hAnsi="方正小标宋简体" w:eastAsia="方正小标宋简体" w:cs="方正小标宋简体"/>
          <w:b w:val="0"/>
          <w:bCs/>
          <w:sz w:val="44"/>
          <w:szCs w:val="44"/>
          <w:lang w:val="en-US" w:eastAsia="zh-CN"/>
        </w:rPr>
        <w:t>大</w:t>
      </w:r>
      <w:r>
        <w:rPr>
          <w:rFonts w:hint="eastAsia" w:ascii="方正小标宋简体" w:hAnsi="方正小标宋简体" w:eastAsia="方正小标宋简体" w:cs="方正小标宋简体"/>
          <w:b w:val="0"/>
          <w:bCs/>
          <w:sz w:val="44"/>
          <w:szCs w:val="44"/>
          <w:lang w:eastAsia="zh-CN"/>
        </w:rPr>
        <w:t>健康</w:t>
      </w:r>
      <w:bookmarkEnd w:id="0"/>
      <w:bookmarkEnd w:id="1"/>
      <w:r>
        <w:rPr>
          <w:rFonts w:hint="eastAsia" w:ascii="方正小标宋简体" w:hAnsi="方正小标宋简体" w:eastAsia="方正小标宋简体" w:cs="方正小标宋简体"/>
          <w:b w:val="0"/>
          <w:bCs/>
          <w:sz w:val="44"/>
          <w:szCs w:val="44"/>
          <w:lang w:val="en-US" w:eastAsia="zh-CN"/>
        </w:rPr>
        <w:t>产业链</w:t>
      </w:r>
      <w:r>
        <w:rPr>
          <w:rFonts w:hint="eastAsia" w:ascii="方正小标宋简体" w:hAnsi="方正小标宋简体" w:eastAsia="方正小标宋简体" w:cs="方正小标宋简体"/>
          <w:b w:val="0"/>
          <w:bCs/>
          <w:sz w:val="44"/>
          <w:szCs w:val="44"/>
          <w:lang w:eastAsia="zh-CN"/>
        </w:rPr>
        <w:t>发展规划</w:t>
      </w:r>
    </w:p>
    <w:p w14:paraId="705A0612">
      <w:pPr>
        <w:widowControl/>
        <w:spacing w:line="6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（20</w:t>
      </w:r>
      <w:r>
        <w:rPr>
          <w:rFonts w:hint="eastAsia" w:ascii="方正小标宋简体" w:hAnsi="方正小标宋简体" w:eastAsia="方正小标宋简体" w:cs="方正小标宋简体"/>
          <w:b w:val="0"/>
          <w:bCs/>
          <w:sz w:val="44"/>
          <w:szCs w:val="44"/>
          <w:lang w:val="en-US" w:eastAsia="zh-CN"/>
        </w:rPr>
        <w:t>24</w:t>
      </w:r>
      <w:r>
        <w:rPr>
          <w:rFonts w:hint="eastAsia" w:ascii="方正小标宋简体" w:hAnsi="方正小标宋简体" w:eastAsia="方正小标宋简体" w:cs="方正小标宋简体"/>
          <w:b w:val="0"/>
          <w:bCs/>
          <w:sz w:val="44"/>
          <w:szCs w:val="44"/>
          <w:lang w:eastAsia="zh-CN"/>
        </w:rPr>
        <w:t>—2030年）</w:t>
      </w:r>
    </w:p>
    <w:p w14:paraId="41A28EEE">
      <w:pPr>
        <w:widowControl/>
        <w:spacing w:line="600" w:lineRule="exact"/>
        <w:jc w:val="left"/>
        <w:rPr>
          <w:rFonts w:ascii="Times New Roman" w:hAnsi="Times New Roman" w:eastAsia="黑体" w:cs="Times New Roman"/>
          <w:b/>
          <w:sz w:val="44"/>
          <w:szCs w:val="44"/>
        </w:rPr>
      </w:pPr>
    </w:p>
    <w:p w14:paraId="7B4C5DFA">
      <w:pPr>
        <w:widowControl/>
        <w:jc w:val="left"/>
        <w:rPr>
          <w:rFonts w:ascii="Times New Roman" w:hAnsi="Times New Roman" w:eastAsia="黑体" w:cs="Times New Roman"/>
          <w:b/>
          <w:sz w:val="44"/>
          <w:szCs w:val="44"/>
        </w:rPr>
      </w:pPr>
    </w:p>
    <w:p w14:paraId="6198217F">
      <w:pPr>
        <w:rPr>
          <w:rFonts w:ascii="Times New Roman" w:hAnsi="Times New Roman" w:eastAsia="黑体" w:cs="Times New Roman"/>
          <w:b/>
          <w:sz w:val="44"/>
          <w:szCs w:val="44"/>
        </w:rPr>
      </w:pPr>
    </w:p>
    <w:p w14:paraId="3138A1C0">
      <w:pPr>
        <w:pStyle w:val="2"/>
      </w:pPr>
    </w:p>
    <w:p w14:paraId="4029FDE8">
      <w:pPr>
        <w:pStyle w:val="2"/>
        <w:rPr>
          <w:rFonts w:ascii="Times New Roman" w:hAnsi="Times New Roman" w:eastAsia="黑体" w:cs="Times New Roman"/>
          <w:b/>
          <w:sz w:val="44"/>
          <w:szCs w:val="44"/>
        </w:rPr>
      </w:pPr>
    </w:p>
    <w:p w14:paraId="58EAC92D">
      <w:pPr>
        <w:rPr>
          <w:rFonts w:ascii="Times New Roman" w:hAnsi="Times New Roman" w:eastAsia="黑体" w:cs="Times New Roman"/>
          <w:b/>
          <w:sz w:val="44"/>
          <w:szCs w:val="44"/>
        </w:rPr>
      </w:pPr>
    </w:p>
    <w:p w14:paraId="53808A91">
      <w:pPr>
        <w:pStyle w:val="2"/>
        <w:rPr>
          <w:rFonts w:ascii="Times New Roman" w:hAnsi="Times New Roman" w:eastAsia="黑体" w:cs="Times New Roman"/>
          <w:b/>
          <w:sz w:val="44"/>
          <w:szCs w:val="44"/>
        </w:rPr>
      </w:pPr>
    </w:p>
    <w:p w14:paraId="53EE3BA0"/>
    <w:p w14:paraId="7393DE7E">
      <w:pPr>
        <w:widowControl/>
        <w:jc w:val="left"/>
        <w:rPr>
          <w:rFonts w:ascii="Times New Roman" w:hAnsi="Times New Roman" w:eastAsia="黑体" w:cs="Times New Roman"/>
          <w:b/>
          <w:sz w:val="44"/>
          <w:szCs w:val="44"/>
        </w:rPr>
      </w:pPr>
    </w:p>
    <w:p w14:paraId="16AF0CCB">
      <w:pPr>
        <w:widowControl/>
        <w:jc w:val="left"/>
        <w:rPr>
          <w:rFonts w:ascii="Times New Roman" w:hAnsi="Times New Roman" w:eastAsia="黑体" w:cs="Times New Roman"/>
          <w:b/>
          <w:sz w:val="44"/>
          <w:szCs w:val="44"/>
        </w:rPr>
      </w:pPr>
    </w:p>
    <w:p w14:paraId="43D5B1BF">
      <w:pPr>
        <w:rPr>
          <w:rFonts w:ascii="Times New Roman" w:hAnsi="Times New Roman" w:eastAsia="黑体" w:cs="Times New Roman"/>
          <w:b/>
          <w:sz w:val="44"/>
          <w:szCs w:val="44"/>
        </w:rPr>
      </w:pPr>
    </w:p>
    <w:p w14:paraId="18A29883">
      <w:pPr>
        <w:pStyle w:val="2"/>
      </w:pPr>
    </w:p>
    <w:p w14:paraId="2EF203BE">
      <w:pPr>
        <w:pStyle w:val="25"/>
        <w:rPr>
          <w:rFonts w:ascii="Times New Roman" w:hAnsi="Times New Roman" w:eastAsia="黑体" w:cs="Times New Roman"/>
          <w:b/>
          <w:sz w:val="44"/>
          <w:szCs w:val="44"/>
        </w:rPr>
      </w:pPr>
    </w:p>
    <w:p w14:paraId="52888B90">
      <w:pPr>
        <w:pStyle w:val="25"/>
        <w:rPr>
          <w:rFonts w:ascii="Times New Roman" w:hAnsi="Times New Roman" w:eastAsia="黑体" w:cs="Times New Roman"/>
          <w:b/>
          <w:sz w:val="44"/>
          <w:szCs w:val="44"/>
        </w:rPr>
      </w:pPr>
    </w:p>
    <w:p w14:paraId="5537F498">
      <w:pPr>
        <w:widowControl/>
        <w:spacing w:line="560" w:lineRule="exact"/>
        <w:jc w:val="center"/>
        <w:rPr>
          <w:rFonts w:hint="eastAsia" w:ascii="仿宋_GB2312" w:hAnsi="仿宋_GB2312" w:eastAsia="仿宋_GB2312" w:cs="仿宋_GB2312"/>
          <w:b w:val="0"/>
          <w:bCs/>
          <w:sz w:val="32"/>
          <w:szCs w:val="32"/>
          <w:lang w:val="en-US" w:eastAsia="zh-CN"/>
        </w:rPr>
      </w:pPr>
      <w:bookmarkStart w:id="2" w:name="_Toc10464"/>
      <w:bookmarkStart w:id="3" w:name="_Toc29868"/>
      <w:bookmarkStart w:id="4" w:name="_Toc16639"/>
      <w:r>
        <w:rPr>
          <w:rFonts w:hint="eastAsia" w:ascii="仿宋_GB2312" w:hAnsi="仿宋_GB2312" w:eastAsia="仿宋_GB2312" w:cs="仿宋_GB2312"/>
          <w:b w:val="0"/>
          <w:bCs/>
          <w:sz w:val="32"/>
          <w:szCs w:val="32"/>
        </w:rPr>
        <w:t>中国</w:t>
      </w:r>
      <w:r>
        <w:rPr>
          <w:rFonts w:hint="eastAsia" w:ascii="仿宋_GB2312" w:hAnsi="仿宋_GB2312" w:eastAsia="仿宋_GB2312" w:cs="仿宋_GB2312"/>
          <w:b w:val="0"/>
          <w:bCs/>
          <w:sz w:val="32"/>
          <w:szCs w:val="32"/>
          <w:lang w:val="en-US" w:eastAsia="zh-CN"/>
        </w:rPr>
        <w:t>中医科学院中医药健康产业研究所</w:t>
      </w:r>
      <w:bookmarkEnd w:id="2"/>
      <w:bookmarkEnd w:id="3"/>
      <w:bookmarkEnd w:id="4"/>
    </w:p>
    <w:p w14:paraId="6491A0E4">
      <w:pPr>
        <w:widowControl/>
        <w:spacing w:line="560" w:lineRule="exact"/>
        <w:jc w:val="center"/>
        <w:rPr>
          <w:rFonts w:hint="eastAsia" w:ascii="仿宋_GB2312" w:hAnsi="仿宋_GB2312" w:eastAsia="仿宋_GB2312" w:cs="仿宋_GB2312"/>
          <w:b/>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24</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月</w:t>
      </w:r>
    </w:p>
    <w:p w14:paraId="7818F028">
      <w:pPr>
        <w:pStyle w:val="25"/>
        <w:rPr>
          <w:rFonts w:hint="default" w:ascii="Times New Roman" w:hAnsi="Times New Roman" w:eastAsia="黑体" w:cs="Times New Roman"/>
          <w:b/>
          <w:sz w:val="28"/>
          <w:szCs w:val="28"/>
        </w:rPr>
      </w:pPr>
    </w:p>
    <w:sdt>
      <w:sdtPr>
        <w:rPr>
          <w:rFonts w:hint="eastAsia" w:ascii="黑体" w:hAnsi="黑体" w:eastAsia="黑体" w:cs="黑体"/>
          <w:b w:val="0"/>
          <w:bCs w:val="0"/>
          <w:kern w:val="2"/>
          <w:sz w:val="44"/>
          <w:szCs w:val="44"/>
          <w:lang w:val="en-US" w:eastAsia="zh-CN" w:bidi="ar-SA"/>
        </w:rPr>
        <w:id w:val="147483357"/>
        <w15:color w:val="DBDBDB"/>
        <w:docPartObj>
          <w:docPartGallery w:val="Table of Contents"/>
          <w:docPartUnique/>
        </w:docPartObj>
      </w:sdtPr>
      <w:sdtEndPr>
        <w:rPr>
          <w:rFonts w:hint="default" w:ascii="Times New Roman" w:hAnsi="Times New Roman" w:eastAsia="仿宋" w:cs="Times New Roman"/>
          <w:b/>
          <w:bCs/>
          <w:smallCaps w:val="0"/>
          <w:kern w:val="2"/>
          <w:sz w:val="21"/>
          <w:szCs w:val="28"/>
          <w:lang w:val="en-US" w:eastAsia="zh-CN" w:bidi="ar-SA"/>
        </w:rPr>
      </w:sdtEndPr>
      <w:sdtContent>
        <w:p w14:paraId="67D495DB">
          <w:pPr>
            <w:spacing w:before="0" w:beforeLines="0" w:after="0" w:afterLines="0" w:line="560" w:lineRule="exact"/>
            <w:ind w:left="0" w:leftChars="0" w:right="0" w:rightChars="0" w:firstLine="0" w:firstLineChars="0"/>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目录</w:t>
          </w:r>
        </w:p>
        <w:p w14:paraId="4E6ABCBA">
          <w:pPr>
            <w:spacing w:before="0" w:beforeLines="0" w:after="0" w:afterLines="0" w:line="560" w:lineRule="exact"/>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"1-2" \h \u </w:instrText>
          </w:r>
          <w:r>
            <w:rPr>
              <w:rFonts w:hint="default" w:ascii="Times New Roman" w:hAnsi="Times New Roman" w:eastAsia="仿宋_GB2312" w:cs="Times New Roman"/>
              <w:sz w:val="32"/>
              <w:szCs w:val="32"/>
            </w:rPr>
            <w:fldChar w:fldCharType="separate"/>
          </w:r>
        </w:p>
        <w:p w14:paraId="7DE355B3">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_Toc32413 </w:instrText>
          </w:r>
          <w:r>
            <w:rPr>
              <w:rFonts w:hint="eastAsia" w:ascii="仿宋" w:hAnsi="仿宋" w:eastAsia="仿宋" w:cs="仿宋"/>
              <w:sz w:val="32"/>
              <w:szCs w:val="32"/>
            </w:rPr>
            <w:fldChar w:fldCharType="separate"/>
          </w:r>
          <w:r>
            <w:rPr>
              <w:rFonts w:hint="eastAsia" w:ascii="黑体" w:hAnsi="黑体" w:eastAsia="黑体" w:cs="黑体"/>
              <w:sz w:val="32"/>
              <w:szCs w:val="32"/>
            </w:rPr>
            <w:t>一、</w:t>
          </w:r>
          <w:r>
            <w:rPr>
              <w:rFonts w:hint="eastAsia" w:ascii="黑体" w:hAnsi="黑体" w:eastAsia="黑体" w:cs="黑体"/>
              <w:sz w:val="32"/>
              <w:szCs w:val="32"/>
              <w:lang w:val="en-US" w:eastAsia="zh-CN"/>
            </w:rPr>
            <w:t>现状及问题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_Toc32413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84E60C">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_Toc24739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经济社会发展现状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_Toc24739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E2ADF4">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（二）中医药产业发展基础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_Toc20274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14A47A">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_Toc21887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）存在问题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_Toc21887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C28D5BD">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_Toc22871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）发展机遇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_Toc22871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8E7923">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_Toc9095 </w:instrText>
          </w:r>
          <w:r>
            <w:rPr>
              <w:rFonts w:hint="eastAsia" w:ascii="仿宋" w:hAnsi="仿宋" w:eastAsia="仿宋" w:cs="仿宋"/>
              <w:sz w:val="32"/>
              <w:szCs w:val="32"/>
            </w:rPr>
            <w:fldChar w:fldCharType="separate"/>
          </w:r>
          <w:r>
            <w:rPr>
              <w:rFonts w:hint="eastAsia" w:ascii="黑体" w:hAnsi="黑体" w:eastAsia="黑体" w:cs="黑体"/>
              <w:b w:val="0"/>
              <w:bCs w:val="0"/>
              <w:sz w:val="32"/>
              <w:szCs w:val="32"/>
            </w:rPr>
            <w:t>二、总体要求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_Toc9095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C8FDA6">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_Toc13826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（一）</w:t>
          </w:r>
          <w:r>
            <w:rPr>
              <w:rFonts w:hint="eastAsia" w:ascii="仿宋" w:hAnsi="仿宋" w:eastAsia="仿宋" w:cs="仿宋"/>
              <w:sz w:val="32"/>
              <w:szCs w:val="32"/>
            </w:rPr>
            <w:t>指导思想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_Toc13826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E57771">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_Toc5342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（二）基本原则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_Toc5342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6326607">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_Toc14610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（三）发展定位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_Toc14610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2FF16AD">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_Toc16141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（四）发展目标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_Toc16141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94ECD2">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_Toc30344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（五）空间布局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_Toc30344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A01307F">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_Toc30344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（六）实施路径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_Toc30344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645750">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_Toc21608 </w:instrText>
          </w:r>
          <w:r>
            <w:rPr>
              <w:rFonts w:hint="eastAsia" w:ascii="仿宋" w:hAnsi="仿宋" w:eastAsia="仿宋" w:cs="仿宋"/>
              <w:sz w:val="32"/>
              <w:szCs w:val="32"/>
            </w:rPr>
            <w:fldChar w:fldCharType="separate"/>
          </w:r>
          <w:r>
            <w:rPr>
              <w:rFonts w:hint="eastAsia" w:ascii="黑体" w:hAnsi="黑体" w:eastAsia="黑体" w:cs="黑体"/>
              <w:sz w:val="32"/>
              <w:szCs w:val="32"/>
              <w:lang w:val="en-US" w:eastAsia="zh-CN"/>
            </w:rPr>
            <w:t>三</w:t>
          </w:r>
          <w:r>
            <w:rPr>
              <w:rFonts w:hint="eastAsia" w:ascii="黑体" w:hAnsi="黑体" w:eastAsia="黑体" w:cs="黑体"/>
              <w:sz w:val="32"/>
              <w:szCs w:val="32"/>
            </w:rPr>
            <w:t>、重点任务</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597513FE">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_Toc27024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（一）中药材种植扩面增效</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4712B1B2">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_Toc2506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（二）中药材加工体系健全完善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_Toc2506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A38ACF7">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_Toc17654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（三）中医药全产业链培育发展</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16B47908">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_Toc10978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（四）中医医疗与养生保健服务能力持续提升</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440B63F9">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_Toc26017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（五）中医药文化与康养旅游融合发展</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0</w:t>
          </w:r>
        </w:p>
        <w:p w14:paraId="63C2594F">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_Toc17905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（六）中医药康复与养老服务创新探索</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p>
        <w:p w14:paraId="1C98414F">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_Toc13067 </w:instrText>
          </w:r>
          <w:r>
            <w:rPr>
              <w:rFonts w:hint="eastAsia" w:ascii="仿宋" w:hAnsi="仿宋" w:eastAsia="仿宋" w:cs="仿宋"/>
              <w:sz w:val="32"/>
              <w:szCs w:val="32"/>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w:t>
          </w:r>
        </w:p>
        <w:p w14:paraId="79A516CE">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_Toc17036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（一）加强组织实施</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2</w:t>
          </w:r>
        </w:p>
        <w:p w14:paraId="45D4B0FE">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_Toc19663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（二）健全政策保障</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_Toc19663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25</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14:paraId="2A4FC2DA">
          <w:pPr>
            <w:pStyle w:val="16"/>
            <w:tabs>
              <w:tab w:val="right" w:leader="dot" w:pos="8306"/>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_Toc3104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（三）建立多元化投融资机制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_Toc3104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26</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14:paraId="6951751D">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_Toc23184 </w:instrText>
          </w:r>
          <w:r>
            <w:rPr>
              <w:rFonts w:hint="eastAsia" w:ascii="仿宋" w:hAnsi="仿宋" w:eastAsia="仿宋" w:cs="仿宋"/>
              <w:sz w:val="32"/>
              <w:szCs w:val="32"/>
              <w:lang w:val="en-US" w:eastAsia="zh-CN"/>
            </w:rPr>
            <w:fldChar w:fldCharType="separate"/>
          </w:r>
          <w:r>
            <w:rPr>
              <w:rFonts w:hint="eastAsia" w:ascii="黑体" w:hAnsi="黑体" w:eastAsia="黑体" w:cs="黑体"/>
              <w:b w:val="0"/>
              <w:bCs w:val="0"/>
              <w:sz w:val="32"/>
              <w:szCs w:val="32"/>
              <w:lang w:val="en-US" w:eastAsia="zh-CN"/>
            </w:rPr>
            <w:t>重点项目工作分工及进度安排表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_Toc23184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27</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14:paraId="75DBD1C8">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_Toc5642 </w:instrText>
          </w:r>
          <w:r>
            <w:rPr>
              <w:rFonts w:hint="eastAsia" w:ascii="仿宋" w:hAnsi="仿宋" w:eastAsia="仿宋" w:cs="仿宋"/>
              <w:sz w:val="32"/>
              <w:szCs w:val="32"/>
              <w:lang w:val="en-US" w:eastAsia="zh-CN"/>
            </w:rPr>
            <w:fldChar w:fldCharType="separate"/>
          </w:r>
          <w:r>
            <w:rPr>
              <w:rFonts w:hint="eastAsia" w:ascii="黑体" w:hAnsi="黑体" w:eastAsia="黑体" w:cs="黑体"/>
              <w:sz w:val="32"/>
              <w:szCs w:val="32"/>
              <w:lang w:val="en-US" w:eastAsia="zh-CN"/>
            </w:rPr>
            <w:t>中药材市场前景分析</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0</w:t>
          </w:r>
        </w:p>
        <w:p w14:paraId="5A66F273">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_Toc19311 </w:instrText>
          </w:r>
          <w:r>
            <w:rPr>
              <w:rFonts w:hint="eastAsia" w:ascii="仿宋" w:hAnsi="仿宋" w:eastAsia="仿宋" w:cs="仿宋"/>
              <w:sz w:val="32"/>
              <w:szCs w:val="32"/>
              <w:lang w:val="en-US" w:eastAsia="zh-CN"/>
            </w:rPr>
            <w:fldChar w:fldCharType="separate"/>
          </w:r>
          <w:r>
            <w:rPr>
              <w:rFonts w:hint="eastAsia" w:ascii="黑体" w:hAnsi="黑体" w:eastAsia="黑体" w:cs="黑体"/>
              <w:sz w:val="32"/>
              <w:szCs w:val="32"/>
              <w:lang w:val="en-US" w:eastAsia="zh-CN"/>
            </w:rPr>
            <w:t>中药材标准化种植基地可合作对象（部分）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9</w:t>
          </w:r>
        </w:p>
        <w:p w14:paraId="7BE8AF3C">
          <w:pPr>
            <w:pStyle w:val="16"/>
            <w:tabs>
              <w:tab w:val="right" w:leader="dot" w:pos="830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_Toc7987 </w:instrText>
          </w:r>
          <w:r>
            <w:rPr>
              <w:rFonts w:hint="eastAsia" w:ascii="仿宋" w:hAnsi="仿宋" w:eastAsia="仿宋" w:cs="仿宋"/>
              <w:sz w:val="32"/>
              <w:szCs w:val="32"/>
              <w:lang w:val="en-US" w:eastAsia="zh-CN"/>
            </w:rPr>
            <w:fldChar w:fldCharType="separate"/>
          </w:r>
          <w:r>
            <w:rPr>
              <w:rFonts w:hint="eastAsia" w:ascii="黑体" w:hAnsi="黑体" w:eastAsia="黑体" w:cs="黑体"/>
              <w:sz w:val="32"/>
              <w:szCs w:val="32"/>
              <w:lang w:val="en-US" w:eastAsia="zh-CN"/>
            </w:rPr>
            <w:t>中医药健康产业园招商名单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1</w:t>
          </w:r>
        </w:p>
        <w:p w14:paraId="50548633">
          <w:pPr>
            <w:spacing w:line="560" w:lineRule="exact"/>
            <w:jc w:val="both"/>
            <w:rPr>
              <w:rFonts w:hint="eastAsia" w:ascii="仿宋" w:hAnsi="仿宋" w:eastAsia="仿宋" w:cs="仿宋"/>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DB559F6">
          <w:pPr>
            <w:spacing w:line="560" w:lineRule="exact"/>
            <w:jc w:val="both"/>
            <w:rPr>
              <w:rFonts w:hint="eastAsia" w:ascii="方正小标宋简体" w:hAnsi="方正小标宋简体" w:eastAsia="方正小标宋简体" w:cs="方正小标宋简体"/>
              <w:b w:val="0"/>
              <w:bCs w:val="0"/>
              <w:sz w:val="44"/>
              <w:szCs w:val="44"/>
            </w:rPr>
          </w:pPr>
          <w:r>
            <w:rPr>
              <w:rFonts w:hint="default" w:ascii="Times New Roman" w:hAnsi="Times New Roman" w:eastAsia="仿宋_GB2312" w:cs="Times New Roman"/>
              <w:sz w:val="32"/>
              <w:szCs w:val="32"/>
            </w:rPr>
            <w:fldChar w:fldCharType="end"/>
          </w:r>
          <w:bookmarkStart w:id="5" w:name="_Toc16050"/>
          <w:bookmarkStart w:id="6" w:name="_Toc11353"/>
        </w:p>
      </w:sdtContent>
    </w:sdt>
    <w:p w14:paraId="52A88A60">
      <w:pPr>
        <w:adjustRightInd w:val="0"/>
        <w:snapToGrid w:val="0"/>
        <w:spacing w:line="560" w:lineRule="exact"/>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明溪县中医药大健康产业链发展规划</w:t>
      </w:r>
      <w:bookmarkEnd w:id="5"/>
      <w:bookmarkEnd w:id="6"/>
    </w:p>
    <w:p w14:paraId="17BC65F9">
      <w:pPr>
        <w:adjustRightInd w:val="0"/>
        <w:snapToGrid w:val="0"/>
        <w:spacing w:line="560" w:lineRule="exact"/>
        <w:jc w:val="center"/>
        <w:outlineLvl w:val="9"/>
        <w:rPr>
          <w:rFonts w:hint="eastAsia" w:ascii="方正小标宋简体" w:hAnsi="方正小标宋简体" w:eastAsia="方正小标宋简体" w:cs="方正小标宋简体"/>
          <w:b w:val="0"/>
          <w:sz w:val="44"/>
          <w:szCs w:val="44"/>
        </w:rPr>
      </w:pPr>
      <w:bookmarkStart w:id="7" w:name="_Toc25999"/>
      <w:r>
        <w:rPr>
          <w:rFonts w:hint="eastAsia" w:ascii="方正小标宋简体" w:hAnsi="方正小标宋简体" w:eastAsia="方正小标宋简体" w:cs="方正小标宋简体"/>
          <w:b w:val="0"/>
          <w:sz w:val="44"/>
          <w:szCs w:val="44"/>
        </w:rPr>
        <w:t>（202</w:t>
      </w:r>
      <w:r>
        <w:rPr>
          <w:rFonts w:hint="eastAsia" w:ascii="方正小标宋简体" w:hAnsi="方正小标宋简体" w:eastAsia="方正小标宋简体" w:cs="方正小标宋简体"/>
          <w:b w:val="0"/>
          <w:sz w:val="44"/>
          <w:szCs w:val="44"/>
          <w:lang w:val="en-US" w:eastAsia="zh-CN"/>
        </w:rPr>
        <w:t>4</w:t>
      </w: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30</w:t>
      </w:r>
      <w:r>
        <w:rPr>
          <w:rFonts w:hint="eastAsia" w:ascii="方正小标宋简体" w:hAnsi="方正小标宋简体" w:eastAsia="方正小标宋简体" w:cs="方正小标宋简体"/>
          <w:b w:val="0"/>
          <w:sz w:val="44"/>
          <w:szCs w:val="44"/>
        </w:rPr>
        <w:t>年）</w:t>
      </w:r>
      <w:bookmarkEnd w:id="7"/>
    </w:p>
    <w:p w14:paraId="5D9BA637">
      <w:pPr>
        <w:spacing w:line="560" w:lineRule="exact"/>
        <w:jc w:val="center"/>
        <w:outlineLvl w:val="9"/>
        <w:rPr>
          <w:rFonts w:hint="default" w:ascii="Times New Roman" w:hAnsi="Times New Roman" w:eastAsia="仿宋_GB2312" w:cs="Times New Roman"/>
          <w:b/>
          <w:bCs/>
          <w:sz w:val="32"/>
          <w:szCs w:val="32"/>
        </w:rPr>
      </w:pPr>
      <w:bookmarkStart w:id="8" w:name="_Toc23063"/>
      <w:bookmarkStart w:id="9" w:name="_Toc26532"/>
    </w:p>
    <w:p w14:paraId="42A43072">
      <w:pPr>
        <w:spacing w:line="560" w:lineRule="exact"/>
        <w:jc w:val="center"/>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前言</w:t>
      </w:r>
      <w:bookmarkEnd w:id="8"/>
      <w:bookmarkEnd w:id="9"/>
    </w:p>
    <w:p w14:paraId="6A0890C1">
      <w:pPr>
        <w:pStyle w:val="2"/>
        <w:rPr>
          <w:rFonts w:hint="eastAsia"/>
        </w:rPr>
      </w:pPr>
    </w:p>
    <w:p w14:paraId="50E82FE0">
      <w:pPr>
        <w:pStyle w:val="25"/>
        <w:widowControl/>
        <w:adjustRightInd w:val="0"/>
        <w:snapToGrid w:val="0"/>
        <w:spacing w:beforeLines="0" w:afterLines="0" w:line="560" w:lineRule="exact"/>
        <w:ind w:firstLine="640" w:firstLineChars="200"/>
        <w:jc w:val="left"/>
        <w:rPr>
          <w:rFonts w:hint="default" w:ascii="Times New Roman" w:hAnsi="Times New Roman" w:eastAsia="仿宋_GB2312" w:cs="Times New Roman"/>
          <w:color w:val="auto"/>
          <w:kern w:val="2"/>
          <w:sz w:val="32"/>
          <w:szCs w:val="32"/>
        </w:rPr>
      </w:pPr>
      <w:r>
        <w:rPr>
          <w:rFonts w:hint="eastAsia" w:ascii="仿宋" w:hAnsi="仿宋" w:eastAsia="仿宋" w:cs="仿宋"/>
          <w:color w:val="auto"/>
          <w:kern w:val="2"/>
          <w:sz w:val="32"/>
          <w:szCs w:val="32"/>
        </w:rPr>
        <w:t>中医药学是中国古代科学的瑰宝，也是打开中华文明宝库的钥匙。切实把中医药这一祖先留给我们的宝贵财富继承好、发展好、利用好，有利于践行绿色发展理念、促进经济结构转型升级，增强经济发展新动力。</w:t>
      </w:r>
    </w:p>
    <w:p w14:paraId="3BF15FD5">
      <w:pPr>
        <w:pStyle w:val="6"/>
        <w:spacing w:before="0" w:beforeLines="0" w:after="0" w:afterLines="0" w:line="560" w:lineRule="exact"/>
        <w:ind w:firstLine="640" w:firstLineChars="200"/>
        <w:outlineLvl w:val="0"/>
        <w:rPr>
          <w:rFonts w:hint="default" w:ascii="Times New Roman" w:hAnsi="Times New Roman" w:eastAsia="黑体" w:cs="Times New Roman"/>
          <w:b w:val="0"/>
          <w:bCs w:val="0"/>
          <w:sz w:val="32"/>
          <w:szCs w:val="32"/>
          <w:lang w:val="en-US" w:eastAsia="zh-CN"/>
        </w:rPr>
      </w:pPr>
      <w:bookmarkStart w:id="10" w:name="_Toc31020"/>
      <w:bookmarkStart w:id="11" w:name="_Toc32413"/>
      <w:r>
        <w:rPr>
          <w:rFonts w:hint="default" w:ascii="Times New Roman" w:hAnsi="Times New Roman" w:eastAsia="黑体" w:cs="Times New Roman"/>
          <w:b w:val="0"/>
          <w:bCs w:val="0"/>
          <w:sz w:val="32"/>
          <w:szCs w:val="32"/>
        </w:rPr>
        <w:t>一、</w:t>
      </w:r>
      <w:bookmarkEnd w:id="10"/>
      <w:r>
        <w:rPr>
          <w:rFonts w:hint="default" w:ascii="Times New Roman" w:hAnsi="Times New Roman" w:eastAsia="黑体" w:cs="Times New Roman"/>
          <w:b w:val="0"/>
          <w:bCs w:val="0"/>
          <w:sz w:val="32"/>
          <w:szCs w:val="32"/>
          <w:lang w:val="en-US" w:eastAsia="zh-CN"/>
        </w:rPr>
        <w:t>现状及问题</w:t>
      </w:r>
      <w:bookmarkEnd w:id="11"/>
    </w:p>
    <w:p w14:paraId="6A69CA4A">
      <w:pPr>
        <w:pStyle w:val="7"/>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rPr>
      </w:pPr>
      <w:bookmarkStart w:id="12" w:name="_Toc24739"/>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一</w:t>
      </w: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rPr>
        <w:t>经济社会发展现状</w:t>
      </w:r>
      <w:bookmarkEnd w:id="12"/>
    </w:p>
    <w:p w14:paraId="6E064138">
      <w:pPr>
        <w:pStyle w:val="25"/>
        <w:widowControl/>
        <w:adjustRightInd w:val="0"/>
        <w:snapToGrid w:val="0"/>
        <w:spacing w:beforeLines="0" w:afterLines="0" w:line="560" w:lineRule="exact"/>
        <w:ind w:firstLine="640" w:firstLineChars="200"/>
        <w:jc w:val="left"/>
        <w:rPr>
          <w:rFonts w:hint="eastAsia" w:ascii="仿宋" w:hAnsi="仿宋" w:eastAsia="仿宋" w:cs="仿宋"/>
          <w:color w:val="auto"/>
          <w:kern w:val="2"/>
          <w:sz w:val="32"/>
          <w:szCs w:val="32"/>
        </w:rPr>
      </w:pPr>
      <w:bookmarkStart w:id="13" w:name="_Toc10224"/>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明溪县人口经济发展情况</w:t>
      </w:r>
      <w:bookmarkEnd w:id="13"/>
    </w:p>
    <w:p w14:paraId="0840E645">
      <w:pPr>
        <w:pStyle w:val="25"/>
        <w:widowControl/>
        <w:adjustRightInd w:val="0"/>
        <w:snapToGrid w:val="0"/>
        <w:spacing w:line="560" w:lineRule="exact"/>
        <w:ind w:firstLine="640" w:firstLineChars="200"/>
        <w:jc w:val="both"/>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highlight w:val="none"/>
          <w:lang w:val="en-US" w:eastAsia="zh-CN"/>
        </w:rPr>
        <w:t>2023年末，</w:t>
      </w:r>
      <w:r>
        <w:rPr>
          <w:rFonts w:hint="eastAsia" w:ascii="仿宋" w:hAnsi="仿宋" w:eastAsia="仿宋" w:cs="仿宋"/>
          <w:color w:val="auto"/>
          <w:kern w:val="2"/>
          <w:sz w:val="32"/>
          <w:szCs w:val="32"/>
          <w:lang w:val="en-US" w:eastAsia="zh-CN"/>
        </w:rPr>
        <w:t>明溪县常住人口为9893</w:t>
      </w:r>
      <w:r>
        <w:rPr>
          <w:rFonts w:hint="eastAsia" w:ascii="仿宋" w:hAnsi="仿宋" w:eastAsia="仿宋" w:cs="仿宋"/>
          <w:color w:val="auto"/>
          <w:kern w:val="2"/>
          <w:sz w:val="32"/>
          <w:szCs w:val="32"/>
          <w:highlight w:val="none"/>
          <w:lang w:val="en-US" w:eastAsia="zh-CN"/>
        </w:rPr>
        <w:t>0人，较上年减少632人。</w:t>
      </w:r>
      <w:r>
        <w:rPr>
          <w:rFonts w:hint="eastAsia" w:ascii="仿宋" w:hAnsi="仿宋" w:eastAsia="仿宋" w:cs="仿宋"/>
          <w:color w:val="auto"/>
          <w:kern w:val="2"/>
          <w:sz w:val="32"/>
          <w:szCs w:val="32"/>
          <w:lang w:val="en-US" w:eastAsia="zh-CN"/>
        </w:rPr>
        <w:t>2023年明溪县实现地区生产总值（GDP）123.33亿元，按可比价格计算，同比增长1.2%，增幅位居全市第7位。分产业看，第一产业增加值24.24亿元，同比增长4.0%，第二产业增加值52.88亿元，下降0.4%，第三产业增加值46.21亿元，增长1.7%。三次产业结构比重19.66:42.87:37.47。</w:t>
      </w:r>
    </w:p>
    <w:p w14:paraId="763723E3">
      <w:pPr>
        <w:pStyle w:val="25"/>
        <w:widowControl/>
        <w:adjustRightInd w:val="0"/>
        <w:snapToGrid w:val="0"/>
        <w:spacing w:line="560" w:lineRule="exact"/>
        <w:ind w:firstLine="640" w:firstLineChars="200"/>
        <w:jc w:val="left"/>
        <w:rPr>
          <w:rFonts w:hint="eastAsia" w:ascii="仿宋" w:hAnsi="仿宋" w:eastAsia="仿宋" w:cs="仿宋"/>
          <w:color w:val="auto"/>
          <w:kern w:val="2"/>
          <w:sz w:val="32"/>
          <w:szCs w:val="32"/>
          <w:lang w:val="en-US" w:eastAsia="zh-CN"/>
        </w:rPr>
      </w:pPr>
      <w:bookmarkStart w:id="14" w:name="_Toc24038"/>
      <w:r>
        <w:rPr>
          <w:rFonts w:hint="eastAsia" w:ascii="仿宋" w:hAnsi="仿宋" w:eastAsia="仿宋" w:cs="仿宋"/>
          <w:color w:val="auto"/>
          <w:kern w:val="2"/>
          <w:sz w:val="32"/>
          <w:szCs w:val="32"/>
          <w:lang w:val="en-US" w:eastAsia="zh-CN"/>
        </w:rPr>
        <w:t>2.明溪县卫生资源情况</w:t>
      </w:r>
      <w:bookmarkEnd w:id="14"/>
    </w:p>
    <w:p w14:paraId="66A71BE1">
      <w:pPr>
        <w:pStyle w:val="25"/>
        <w:widowControl/>
        <w:adjustRightInd w:val="0"/>
        <w:snapToGrid w:val="0"/>
        <w:spacing w:line="560" w:lineRule="exact"/>
        <w:ind w:firstLine="640" w:firstLineChars="200"/>
        <w:jc w:val="left"/>
        <w:rPr>
          <w:rFonts w:hint="eastAsia" w:ascii="仿宋" w:hAnsi="仿宋" w:eastAsia="仿宋" w:cs="仿宋"/>
          <w:strike w:val="0"/>
          <w:dstrike w:val="0"/>
          <w:color w:val="auto"/>
          <w:kern w:val="2"/>
          <w:sz w:val="32"/>
          <w:szCs w:val="32"/>
          <w:lang w:val="en-US" w:eastAsia="zh-CN"/>
        </w:rPr>
      </w:pPr>
      <w:r>
        <w:rPr>
          <w:rFonts w:hint="eastAsia" w:ascii="仿宋" w:hAnsi="仿宋" w:eastAsia="仿宋" w:cs="仿宋"/>
          <w:color w:val="auto"/>
          <w:kern w:val="2"/>
          <w:sz w:val="32"/>
          <w:szCs w:val="32"/>
          <w:lang w:val="en-US" w:eastAsia="zh-CN"/>
        </w:rPr>
        <w:t>2023年末，全县拥有各类医疗卫生机构105个，其中县级医疗卫生机构5个、社区卫生服务中心1个、乡镇卫生院8个、企事业单位医务室1个、民营综合性医院1个、个体医诊所10个、村卫生所79个。全县床位数690张。</w:t>
      </w:r>
      <w:r>
        <w:rPr>
          <w:rFonts w:hint="eastAsia" w:ascii="仿宋" w:hAnsi="仿宋" w:eastAsia="仿宋" w:cs="仿宋"/>
          <w:strike w:val="0"/>
          <w:dstrike w:val="0"/>
          <w:color w:val="auto"/>
          <w:kern w:val="2"/>
          <w:sz w:val="32"/>
          <w:szCs w:val="32"/>
          <w:lang w:val="en-US" w:eastAsia="zh-CN"/>
        </w:rPr>
        <w:t>全县公立医疗卫生单位拥有各类卫生专业技术人员537人，其中高级职称107人，中级职称124人，另有乡村医生53名。</w:t>
      </w:r>
    </w:p>
    <w:p w14:paraId="28FA219C">
      <w:pPr>
        <w:pStyle w:val="25"/>
        <w:widowControl/>
        <w:adjustRightInd w:val="0"/>
        <w:snapToGrid w:val="0"/>
        <w:spacing w:beforeLines="0" w:afterLines="0" w:line="560" w:lineRule="exact"/>
        <w:ind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全县现有二级中医医院1所，一级综合医院（民营）1所，中医个体诊所3所，乡镇（社区）中医馆9所，在县总医院西区（中医院）设置“福建中医药大学（明溪）中医药健康管理示范中心”、中医内科、康复科等，完善了县域内中医药服务网络。县中医院床位数100张，明溪复康医院70张（民营）。</w:t>
      </w:r>
    </w:p>
    <w:p w14:paraId="67931334">
      <w:pPr>
        <w:pStyle w:val="7"/>
        <w:spacing w:before="0" w:beforeLines="0" w:afterLines="0" w:line="560" w:lineRule="exact"/>
        <w:ind w:firstLine="640" w:firstLineChars="200"/>
        <w:outlineLvl w:val="1"/>
        <w:rPr>
          <w:rFonts w:hint="default" w:ascii="Times New Roman" w:hAnsi="Times New Roman" w:eastAsia="楷体" w:cs="Times New Roman"/>
          <w:b w:val="0"/>
          <w:bCs w:val="0"/>
          <w:color w:val="auto"/>
          <w:kern w:val="0"/>
          <w:sz w:val="32"/>
          <w:szCs w:val="32"/>
          <w:lang w:val="en-US" w:eastAsia="zh-CN"/>
        </w:rPr>
      </w:pPr>
      <w:bookmarkStart w:id="15" w:name="_Toc18835"/>
      <w:bookmarkStart w:id="16" w:name="_Toc20274"/>
      <w:r>
        <w:rPr>
          <w:rFonts w:hint="default" w:ascii="Times New Roman" w:hAnsi="Times New Roman" w:eastAsia="楷体" w:cs="Times New Roman"/>
          <w:b w:val="0"/>
          <w:bCs w:val="0"/>
          <w:color w:val="auto"/>
          <w:kern w:val="0"/>
          <w:sz w:val="32"/>
          <w:szCs w:val="32"/>
          <w:lang w:val="en-US" w:eastAsia="zh-CN"/>
        </w:rPr>
        <w:t>（二）中医药产业发展</w:t>
      </w:r>
      <w:bookmarkEnd w:id="15"/>
      <w:r>
        <w:rPr>
          <w:rFonts w:hint="default" w:ascii="Times New Roman" w:hAnsi="Times New Roman" w:eastAsia="楷体" w:cs="Times New Roman"/>
          <w:b w:val="0"/>
          <w:bCs w:val="0"/>
          <w:color w:val="auto"/>
          <w:kern w:val="0"/>
          <w:sz w:val="32"/>
          <w:szCs w:val="32"/>
          <w:lang w:val="en-US" w:eastAsia="zh-CN"/>
        </w:rPr>
        <w:t>基础</w:t>
      </w:r>
      <w:bookmarkEnd w:id="16"/>
    </w:p>
    <w:p w14:paraId="45839702">
      <w:pPr>
        <w:pStyle w:val="25"/>
        <w:widowControl/>
        <w:adjustRightInd w:val="0"/>
        <w:snapToGrid w:val="0"/>
        <w:spacing w:beforeLines="0" w:afterLines="0" w:line="560" w:lineRule="exact"/>
        <w:ind w:firstLine="640" w:firstLineChars="200"/>
        <w:jc w:val="left"/>
        <w:rPr>
          <w:rFonts w:hint="eastAsia" w:ascii="仿宋" w:hAnsi="仿宋" w:eastAsia="仿宋" w:cs="仿宋"/>
          <w:color w:val="auto"/>
          <w:kern w:val="2"/>
          <w:sz w:val="32"/>
          <w:szCs w:val="32"/>
          <w:lang w:val="en-US" w:eastAsia="zh-CN"/>
        </w:rPr>
      </w:pPr>
      <w:bookmarkStart w:id="17" w:name="_Toc12946"/>
      <w:r>
        <w:rPr>
          <w:rFonts w:hint="eastAsia" w:ascii="仿宋" w:hAnsi="仿宋" w:eastAsia="仿宋" w:cs="仿宋"/>
          <w:color w:val="auto"/>
          <w:kern w:val="2"/>
          <w:sz w:val="32"/>
          <w:szCs w:val="32"/>
          <w:lang w:val="en-US" w:eastAsia="zh-CN"/>
        </w:rPr>
        <w:t>1.中药材种植</w:t>
      </w:r>
      <w:bookmarkEnd w:id="17"/>
      <w:r>
        <w:rPr>
          <w:rFonts w:hint="eastAsia" w:ascii="仿宋" w:hAnsi="仿宋" w:eastAsia="仿宋" w:cs="仿宋"/>
          <w:color w:val="auto"/>
          <w:kern w:val="2"/>
          <w:sz w:val="32"/>
          <w:szCs w:val="32"/>
          <w:lang w:val="en-US" w:eastAsia="zh-CN"/>
        </w:rPr>
        <w:t>产业初具规模</w:t>
      </w:r>
    </w:p>
    <w:p w14:paraId="7F657B31">
      <w:pPr>
        <w:pStyle w:val="25"/>
        <w:spacing w:beforeLines="0" w:afterLines="0"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明溪县1470年(明成化六年)建县，县名归化，1933年5月更名为明溪。县内中草药资源丰富，据县内现存最早县志《归化县志（明正德）》记载，当地产茱萸、木通、紫苏、姜黄等药材近40种。新中国成立后，明溪县对境内中草药资源进行资源调查，较为全面地掌握了明溪中草药资源情况。《明溪县志（2018版）》记载，1996年之前，全县中草药资源有9类328种。2021年第四次全国中药资源普查发现210科844属1559种药用植物。首次发现福建省新分布物种—四川山姜（箭杆风），发现重点调查中药资源（中药材）783种、特色重点调查中药资源（中药材）17种。同时，完成《明溪县中药资源志要》《明溪县中药资源普查报告》《明溪县中药资源区划》等编撰。</w:t>
      </w:r>
    </w:p>
    <w:p w14:paraId="456212FB">
      <w:pPr>
        <w:pStyle w:val="25"/>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依托丰富的药用植物资源和良好的生态条件，结合国家中医药管理局对口支援的优势，</w:t>
      </w:r>
      <w:r>
        <w:rPr>
          <w:rFonts w:hint="eastAsia" w:ascii="仿宋" w:hAnsi="仿宋" w:eastAsia="仿宋" w:cs="仿宋"/>
          <w:kern w:val="2"/>
          <w:sz w:val="32"/>
          <w:szCs w:val="32"/>
          <w:lang w:val="en-US" w:eastAsia="zh-CN" w:bidi="ar-SA"/>
        </w:rPr>
        <w:t>大力发展林下中药材种植。有聚龙中草药、仙麻店林场、根财林场、永财林场等25家中药材经营主体，南方制药、恒鑫农林开发、大山金线莲科技开发等13家中药材种植公司。全县现有中药材种植基地6个（茯苓4个、灵芝2个），种植面积约2.83万亩。明溪淮山入选大国好货“一县一品”特色农产品。其中种植面积过千亩的品种有灵芝、淮山、茯苓、多花黄精、铁皮石斛、草珊瑚等。现有中药材初加工企业一</w:t>
      </w:r>
      <w:r>
        <w:rPr>
          <w:rFonts w:hint="eastAsia" w:ascii="仿宋" w:hAnsi="仿宋" w:eastAsia="仿宋" w:cs="仿宋"/>
          <w:color w:val="auto"/>
          <w:kern w:val="2"/>
          <w:sz w:val="32"/>
          <w:szCs w:val="32"/>
          <w:lang w:val="en-US" w:eastAsia="zh-CN" w:bidi="ar-SA"/>
        </w:rPr>
        <w:t>家（沃林生物公司），2022年被列为省药食两用物质试点企业，主要开发灵芝、铁皮石斛等药食同源食品，已研发灵芝养生茶、铁皮石斛茶等10多个</w:t>
      </w:r>
      <w:r>
        <w:rPr>
          <w:rFonts w:hint="eastAsia" w:ascii="仿宋" w:hAnsi="仿宋" w:eastAsia="仿宋" w:cs="仿宋"/>
          <w:kern w:val="2"/>
          <w:sz w:val="32"/>
          <w:szCs w:val="32"/>
          <w:lang w:val="en-US" w:eastAsia="zh-CN" w:bidi="ar-SA"/>
        </w:rPr>
        <w:t>产品。拥有两个从事红豆杉生物质利用的国家级高新技术企业南方制药和紫杉园，以及“福九味”、石斛乳酸菌等中医药大健康产业聚集资源，是全省重要的原料药绿色生产基地，正在规划建设总面积512亩的中医药健康产业园。</w:t>
      </w:r>
    </w:p>
    <w:p w14:paraId="708DF784">
      <w:pPr>
        <w:pStyle w:val="25"/>
        <w:widowControl/>
        <w:adjustRightInd w:val="0"/>
        <w:snapToGrid w:val="0"/>
        <w:spacing w:line="560" w:lineRule="exact"/>
        <w:ind w:firstLine="640" w:firstLineChars="20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2.中医药材二产三产初具效益</w:t>
      </w:r>
    </w:p>
    <w:p w14:paraId="34CF13C5">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全县现有医药类企</w:t>
      </w:r>
      <w:r>
        <w:rPr>
          <w:rFonts w:hint="eastAsia" w:ascii="仿宋" w:hAnsi="仿宋" w:eastAsia="仿宋" w:cs="仿宋"/>
          <w:color w:val="auto"/>
          <w:kern w:val="2"/>
          <w:sz w:val="32"/>
          <w:szCs w:val="32"/>
          <w:highlight w:val="none"/>
          <w:lang w:val="en-US" w:eastAsia="zh-CN" w:bidi="ar-SA"/>
        </w:rPr>
        <w:t>业25家，产值亿元以上5家，5亿元以上1家（南方制药），中药材种植合作社6家，</w:t>
      </w:r>
      <w:r>
        <w:rPr>
          <w:rFonts w:hint="eastAsia" w:ascii="仿宋" w:hAnsi="仿宋" w:eastAsia="仿宋" w:cs="仿宋"/>
          <w:color w:val="auto"/>
          <w:kern w:val="2"/>
          <w:sz w:val="32"/>
          <w:szCs w:val="32"/>
          <w:lang w:val="en-US" w:eastAsia="zh-CN" w:bidi="ar-SA"/>
        </w:rPr>
        <w:t>二产”带动“一产”联</w:t>
      </w:r>
      <w:r>
        <w:rPr>
          <w:rFonts w:hint="eastAsia" w:ascii="仿宋" w:hAnsi="仿宋" w:eastAsia="仿宋" w:cs="仿宋"/>
          <w:kern w:val="2"/>
          <w:sz w:val="32"/>
          <w:szCs w:val="32"/>
          <w:lang w:val="en-US" w:eastAsia="zh-CN" w:bidi="ar-SA"/>
        </w:rPr>
        <w:t>动“三产”推动中药材一二三产业融合发展，丰富明溪县乡村振兴的内涵。</w:t>
      </w:r>
    </w:p>
    <w:p w14:paraId="7DF36DB3">
      <w:pPr>
        <w:pStyle w:val="25"/>
        <w:widowControl/>
        <w:adjustRightInd w:val="0"/>
        <w:snapToGrid w:val="0"/>
        <w:spacing w:line="560" w:lineRule="exact"/>
        <w:ind w:firstLine="640" w:firstLineChars="200"/>
        <w:jc w:val="lef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3.中医药产业链正逐步形成</w:t>
      </w:r>
    </w:p>
    <w:p w14:paraId="66199068">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药加工企业正不断向上、下游延伸产业，正在构建覆盖中药材种植和采收、中药饮片、中成药产品的生产与研发、中药现代物流等中药大健康全产业链的业务体系。同时，将准备开展中药配方颗粒等现代中药产品生产研发、中药质量标准体系和溯源体系建设，提升产品附加值。</w:t>
      </w:r>
    </w:p>
    <w:p w14:paraId="4756B43D">
      <w:pPr>
        <w:pStyle w:val="7"/>
        <w:spacing w:before="0" w:beforeLines="0" w:afterLines="0" w:line="560" w:lineRule="exact"/>
        <w:ind w:firstLine="640" w:firstLineChars="200"/>
        <w:outlineLvl w:val="1"/>
        <w:rPr>
          <w:rFonts w:hint="default" w:ascii="Times New Roman" w:hAnsi="Times New Roman" w:eastAsia="楷体" w:cs="Times New Roman"/>
          <w:b w:val="0"/>
          <w:bCs w:val="0"/>
          <w:color w:val="auto"/>
          <w:kern w:val="0"/>
          <w:sz w:val="32"/>
          <w:szCs w:val="32"/>
          <w:lang w:eastAsia="zh-CN"/>
        </w:rPr>
      </w:pPr>
      <w:bookmarkStart w:id="18" w:name="_Toc21887"/>
      <w:bookmarkStart w:id="19" w:name="_Toc21702"/>
      <w:r>
        <w:rPr>
          <w:rFonts w:hint="default" w:ascii="Times New Roman" w:hAnsi="Times New Roman" w:eastAsia="楷体" w:cs="Times New Roman"/>
          <w:b w:val="0"/>
          <w:bCs w:val="0"/>
          <w:color w:val="auto"/>
          <w:kern w:val="0"/>
          <w:sz w:val="32"/>
          <w:szCs w:val="32"/>
          <w:lang w:eastAsia="zh-CN"/>
        </w:rPr>
        <w:t>（</w:t>
      </w:r>
      <w:r>
        <w:rPr>
          <w:rFonts w:hint="default" w:ascii="Times New Roman" w:hAnsi="Times New Roman" w:eastAsia="楷体" w:cs="Times New Roman"/>
          <w:b w:val="0"/>
          <w:bCs w:val="0"/>
          <w:color w:val="auto"/>
          <w:kern w:val="0"/>
          <w:sz w:val="32"/>
          <w:szCs w:val="32"/>
          <w:lang w:val="en-US" w:eastAsia="zh-CN"/>
        </w:rPr>
        <w:t>三</w:t>
      </w:r>
      <w:r>
        <w:rPr>
          <w:rFonts w:hint="default" w:ascii="Times New Roman" w:hAnsi="Times New Roman" w:eastAsia="楷体" w:cs="Times New Roman"/>
          <w:b w:val="0"/>
          <w:bCs w:val="0"/>
          <w:color w:val="auto"/>
          <w:kern w:val="0"/>
          <w:sz w:val="32"/>
          <w:szCs w:val="32"/>
          <w:lang w:eastAsia="zh-CN"/>
        </w:rPr>
        <w:t>）存在问题</w:t>
      </w:r>
      <w:bookmarkEnd w:id="18"/>
      <w:bookmarkEnd w:id="19"/>
    </w:p>
    <w:p w14:paraId="7E372400">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bookmarkStart w:id="20" w:name="_Toc15403"/>
      <w:r>
        <w:rPr>
          <w:rFonts w:hint="eastAsia" w:ascii="仿宋" w:hAnsi="仿宋" w:eastAsia="仿宋" w:cs="仿宋"/>
          <w:kern w:val="2"/>
          <w:sz w:val="32"/>
          <w:szCs w:val="32"/>
          <w:lang w:val="en-US" w:eastAsia="zh-CN" w:bidi="ar-SA"/>
        </w:rPr>
        <w:t>1.投入机制尚未形成</w:t>
      </w:r>
      <w:bookmarkEnd w:id="20"/>
    </w:p>
    <w:p w14:paraId="03336214">
      <w:pPr>
        <w:pStyle w:val="25"/>
        <w:numPr>
          <w:ilvl w:val="0"/>
          <w:numId w:val="0"/>
        </w:numPr>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对中医药投入不稳定，没有根据县域中医药发展现状制定明确的投入政策，无法体现中医药产业发展的自身规律和特点，缺乏有效的投入保障和制度保障。</w:t>
      </w:r>
    </w:p>
    <w:p w14:paraId="4D597882">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bookmarkStart w:id="21" w:name="_Toc2899"/>
      <w:r>
        <w:rPr>
          <w:rFonts w:hint="eastAsia" w:ascii="仿宋" w:hAnsi="仿宋" w:eastAsia="仿宋" w:cs="仿宋"/>
          <w:kern w:val="2"/>
          <w:sz w:val="32"/>
          <w:szCs w:val="32"/>
          <w:lang w:val="en-US" w:eastAsia="zh-CN" w:bidi="ar-SA"/>
        </w:rPr>
        <w:t>2.中</w:t>
      </w:r>
      <w:bookmarkEnd w:id="21"/>
      <w:r>
        <w:rPr>
          <w:rFonts w:hint="eastAsia" w:ascii="仿宋" w:hAnsi="仿宋" w:eastAsia="仿宋" w:cs="仿宋"/>
          <w:kern w:val="2"/>
          <w:sz w:val="32"/>
          <w:szCs w:val="32"/>
          <w:lang w:val="en-US" w:eastAsia="zh-CN" w:bidi="ar-SA"/>
        </w:rPr>
        <w:t>医药品牌尚未打造</w:t>
      </w:r>
    </w:p>
    <w:p w14:paraId="2A2B1467">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中药材种植品种多而散，仍以粗放的中药种植业为主，科技水平较低，未形成规模化生产，中医药加工、附加值高的精细加工产品较少，产品质量参差不齐，</w:t>
      </w:r>
      <w:r>
        <w:rPr>
          <w:rFonts w:hint="eastAsia" w:ascii="仿宋" w:hAnsi="仿宋" w:eastAsia="仿宋" w:cs="仿宋"/>
          <w:kern w:val="2"/>
          <w:sz w:val="32"/>
          <w:szCs w:val="32"/>
          <w:lang w:val="en-US" w:eastAsia="zh-CN" w:bidi="ar-SA"/>
        </w:rPr>
        <w:t>有些企业的产品质量不稳定，缺乏主打的、叫得响产品，市场竞争力弱。</w:t>
      </w:r>
    </w:p>
    <w:p w14:paraId="284DA14C">
      <w:pPr>
        <w:pStyle w:val="25"/>
        <w:numPr>
          <w:ilvl w:val="0"/>
          <w:numId w:val="0"/>
        </w:numPr>
        <w:spacing w:line="560" w:lineRule="exact"/>
        <w:ind w:firstLine="640" w:firstLineChars="200"/>
        <w:rPr>
          <w:rFonts w:hint="eastAsia" w:ascii="仿宋" w:hAnsi="仿宋" w:eastAsia="仿宋" w:cs="仿宋"/>
          <w:kern w:val="2"/>
          <w:sz w:val="32"/>
          <w:szCs w:val="32"/>
          <w:lang w:val="en-US" w:eastAsia="zh-CN" w:bidi="ar-SA"/>
        </w:rPr>
      </w:pPr>
      <w:bookmarkStart w:id="22" w:name="_Toc14081"/>
      <w:r>
        <w:rPr>
          <w:rFonts w:hint="eastAsia" w:ascii="仿宋" w:hAnsi="仿宋" w:eastAsia="仿宋" w:cs="仿宋"/>
          <w:kern w:val="2"/>
          <w:sz w:val="32"/>
          <w:szCs w:val="32"/>
          <w:lang w:val="en-US" w:eastAsia="zh-CN" w:bidi="ar-SA"/>
        </w:rPr>
        <w:t>3.</w:t>
      </w:r>
      <w:bookmarkEnd w:id="22"/>
      <w:bookmarkStart w:id="23" w:name="OLE_LINK69"/>
      <w:bookmarkStart w:id="24" w:name="OLE_LINK70"/>
      <w:r>
        <w:rPr>
          <w:rFonts w:hint="eastAsia" w:ascii="仿宋" w:hAnsi="仿宋" w:eastAsia="仿宋" w:cs="仿宋"/>
          <w:kern w:val="2"/>
          <w:sz w:val="32"/>
          <w:szCs w:val="32"/>
          <w:lang w:val="en-US" w:eastAsia="zh-CN" w:bidi="ar-SA"/>
        </w:rPr>
        <w:t>中医药产业链体系不完善</w:t>
      </w:r>
      <w:bookmarkEnd w:id="23"/>
      <w:bookmarkEnd w:id="24"/>
    </w:p>
    <w:p w14:paraId="0D07C607">
      <w:pPr>
        <w:pStyle w:val="25"/>
        <w:numPr>
          <w:ilvl w:val="0"/>
          <w:numId w:val="0"/>
        </w:numPr>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县初步形成集中医医疗、中药制造、中药材种植、中药材粗加工的服务体系，但是在中医药文化传承、中医药健康服务等第三产业发展方面较薄弱，缺少本土的中医药商贸市场。龙头骨干企业数量偏少，对产业链上下游带动力不足。市场潜力巨大的健康旅游、健康养老、数字经济等领域，中医药参与深度不足，搭配略显生硬，缺乏新颖创意，普遍存在盈利模式不明确、盈利周期过长的现象。</w:t>
      </w:r>
    </w:p>
    <w:p w14:paraId="7AC51D0F">
      <w:pPr>
        <w:pStyle w:val="25"/>
        <w:numPr>
          <w:ilvl w:val="0"/>
          <w:numId w:val="0"/>
        </w:numPr>
        <w:spacing w:line="560" w:lineRule="exact"/>
        <w:ind w:firstLine="640" w:firstLineChars="200"/>
        <w:rPr>
          <w:rFonts w:hint="eastAsia" w:ascii="仿宋" w:hAnsi="仿宋" w:eastAsia="仿宋" w:cs="仿宋"/>
          <w:color w:val="auto"/>
          <w:kern w:val="2"/>
          <w:sz w:val="32"/>
          <w:szCs w:val="32"/>
          <w:lang w:val="en-US" w:eastAsia="zh-CN" w:bidi="ar-SA"/>
        </w:rPr>
      </w:pPr>
      <w:bookmarkStart w:id="25" w:name="_Toc21207"/>
      <w:r>
        <w:rPr>
          <w:rFonts w:hint="eastAsia" w:ascii="仿宋" w:hAnsi="仿宋" w:eastAsia="仿宋" w:cs="仿宋"/>
          <w:color w:val="auto"/>
          <w:kern w:val="2"/>
          <w:sz w:val="32"/>
          <w:szCs w:val="32"/>
          <w:lang w:val="en-US" w:eastAsia="zh-CN" w:bidi="ar-SA"/>
        </w:rPr>
        <w:t>4.中医药文化挖掘与宣传力度不够</w:t>
      </w:r>
      <w:bookmarkEnd w:id="25"/>
    </w:p>
    <w:p w14:paraId="7404E3FE">
      <w:pPr>
        <w:pStyle w:val="25"/>
        <w:numPr>
          <w:ilvl w:val="0"/>
          <w:numId w:val="0"/>
        </w:numPr>
        <w:spacing w:beforeLines="0" w:afterLines="0"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lang w:val="en-US" w:eastAsia="zh-CN" w:bidi="ar-SA"/>
        </w:rPr>
        <w:t>中医药文化挖掘不够，红军战地医院遗址的红色中医内涵及本县特色的中医药客家侨乡文化尚未得到重视和开发。中医药宣传力度不大，群众对中医药的认知率和应用率不高，中医药文化旅游未突出特色和亮点，中医药健康养生未形成服务能力与服务体系，以中医药健康产业为特点的经济结构转型的源动力尚未显现。</w:t>
      </w:r>
    </w:p>
    <w:p w14:paraId="02288FCF">
      <w:pPr>
        <w:pStyle w:val="7"/>
        <w:spacing w:before="0" w:beforeLines="0" w:afterLines="0" w:line="560" w:lineRule="exact"/>
        <w:ind w:firstLine="640" w:firstLineChars="200"/>
        <w:outlineLvl w:val="1"/>
        <w:rPr>
          <w:rFonts w:hint="default" w:ascii="Times New Roman" w:hAnsi="Times New Roman" w:eastAsia="楷体" w:cs="Times New Roman"/>
          <w:b w:val="0"/>
          <w:bCs w:val="0"/>
          <w:color w:val="auto"/>
          <w:kern w:val="0"/>
          <w:sz w:val="32"/>
          <w:szCs w:val="32"/>
          <w:lang w:eastAsia="zh-CN"/>
        </w:rPr>
      </w:pPr>
      <w:bookmarkStart w:id="26" w:name="_Toc12784"/>
      <w:bookmarkStart w:id="27" w:name="_Toc22871"/>
      <w:r>
        <w:rPr>
          <w:rFonts w:hint="default" w:ascii="Times New Roman" w:hAnsi="Times New Roman" w:eastAsia="楷体" w:cs="Times New Roman"/>
          <w:b w:val="0"/>
          <w:bCs w:val="0"/>
          <w:color w:val="auto"/>
          <w:kern w:val="0"/>
          <w:sz w:val="32"/>
          <w:szCs w:val="32"/>
          <w:lang w:eastAsia="zh-CN"/>
        </w:rPr>
        <w:t>（</w:t>
      </w:r>
      <w:r>
        <w:rPr>
          <w:rFonts w:hint="default" w:ascii="Times New Roman" w:hAnsi="Times New Roman" w:eastAsia="楷体" w:cs="Times New Roman"/>
          <w:b w:val="0"/>
          <w:bCs w:val="0"/>
          <w:color w:val="auto"/>
          <w:kern w:val="0"/>
          <w:sz w:val="32"/>
          <w:szCs w:val="32"/>
          <w:lang w:val="en-US" w:eastAsia="zh-CN"/>
        </w:rPr>
        <w:t>四</w:t>
      </w:r>
      <w:r>
        <w:rPr>
          <w:rFonts w:hint="default" w:ascii="Times New Roman" w:hAnsi="Times New Roman" w:eastAsia="楷体" w:cs="Times New Roman"/>
          <w:b w:val="0"/>
          <w:bCs w:val="0"/>
          <w:color w:val="auto"/>
          <w:kern w:val="0"/>
          <w:sz w:val="32"/>
          <w:szCs w:val="32"/>
          <w:lang w:eastAsia="zh-CN"/>
        </w:rPr>
        <w:t>）发展机遇</w:t>
      </w:r>
      <w:bookmarkEnd w:id="26"/>
      <w:bookmarkEnd w:id="27"/>
    </w:p>
    <w:p w14:paraId="1280C7E2">
      <w:pPr>
        <w:spacing w:line="560" w:lineRule="exact"/>
        <w:ind w:firstLine="640" w:firstLineChars="200"/>
        <w:outlineLvl w:val="2"/>
        <w:rPr>
          <w:rFonts w:hint="eastAsia" w:ascii="仿宋" w:hAnsi="仿宋" w:eastAsia="仿宋" w:cs="仿宋"/>
          <w:kern w:val="2"/>
          <w:sz w:val="32"/>
          <w:szCs w:val="32"/>
          <w:lang w:val="en-US" w:eastAsia="zh-CN" w:bidi="ar-SA"/>
        </w:rPr>
      </w:pPr>
      <w:bookmarkStart w:id="28" w:name="_Toc10889"/>
      <w:r>
        <w:rPr>
          <w:rFonts w:hint="eastAsia" w:ascii="仿宋" w:hAnsi="仿宋" w:eastAsia="仿宋" w:cs="仿宋"/>
          <w:kern w:val="2"/>
          <w:sz w:val="32"/>
          <w:szCs w:val="32"/>
          <w:lang w:val="en-US" w:eastAsia="zh-CN" w:bidi="ar-SA"/>
        </w:rPr>
        <w:t>1.政策机遇</w:t>
      </w:r>
      <w:bookmarkEnd w:id="28"/>
    </w:p>
    <w:p w14:paraId="0148A4DE">
      <w:pPr>
        <w:pStyle w:val="25"/>
        <w:widowControl/>
        <w:adjustRightInd w:val="0"/>
        <w:snapToGrid w:val="0"/>
        <w:spacing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响应“健康中国”国家战略，助力“健康明溪”建设。2016年10月，中共中央、国务院印发《“健康中国2030”规划纲要》，提出2030年要实现人民健康水平持续提升、主要健康危险因素得到有效控制、健康服务能力大幅提升、健康产业规模显著扩大和促进健康的制度体系更加完善五大目标。</w:t>
      </w:r>
    </w:p>
    <w:p w14:paraId="7F0868F0">
      <w:pPr>
        <w:pStyle w:val="25"/>
        <w:spacing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当前，中医药发展站在更高的历史起点上，迎来天时、地利、人和的大好时机。国家先后出台了《中医药发展战略规划纲要（2016-2030年）》、《全国道地药材生产基地建设规划（2018—2025年）》、《关于促进中医药传承创新发展的意见》、《关于加快中医药特色发展的若干政策措施》、《中医药振兴发展重大工程实施方案的通知》等一系列中医药发展的相关政策文件，将中医药发展摆在了经济社会发展全局的重要位置。省政府高度重视中医药的发展，出台了《福建省促进中医药传承创新发展若干措施》和《福建省“十四五”中医药健康发展规划》等政策文件，明确了全省发展中医药的奋斗目标。三明市委、市政府也多次强调加大政策支持力度，全力破解制约中医药产业发展的困难问题，让中医药健康产业成为助推全面振兴、全方位振兴的重要动能。</w:t>
      </w:r>
    </w:p>
    <w:p w14:paraId="7062A31D">
      <w:pPr>
        <w:pStyle w:val="25"/>
        <w:widowControl/>
        <w:adjustRightInd w:val="0"/>
        <w:snapToGrid w:val="0"/>
        <w:spacing w:line="560" w:lineRule="exact"/>
        <w:ind w:firstLine="64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32"/>
          <w:szCs w:val="32"/>
          <w:lang w:val="en-US" w:eastAsia="zh-CN" w:bidi="ar-SA"/>
        </w:rPr>
        <w:t>“十四五”时期我县制定了《“健康明溪2030”行动计划》、《明溪县“十四五”中医药发展专项规划》、《明溪县促进生物医药产业加快聚集发展若干措施》，为我县中药材产业的发展营造了良好的政策环境。</w:t>
      </w:r>
    </w:p>
    <w:p w14:paraId="56C4E15E">
      <w:pPr>
        <w:pStyle w:val="25"/>
        <w:widowControl/>
        <w:adjustRightInd w:val="0"/>
        <w:snapToGrid w:val="0"/>
        <w:spacing w:line="360" w:lineRule="auto"/>
        <w:ind w:firstLine="560" w:firstLineChars="200"/>
        <w:jc w:val="left"/>
        <w:rPr>
          <w:rFonts w:hint="default" w:ascii="Times New Roman" w:hAnsi="Times New Roman" w:eastAsia="仿宋_GB2312" w:cs="Times New Roman"/>
          <w:color w:val="auto"/>
          <w:kern w:val="2"/>
          <w:sz w:val="28"/>
          <w:szCs w:val="28"/>
          <w:lang w:val="en-US" w:eastAsia="zh-CN" w:bidi="ar-SA"/>
        </w:rPr>
      </w:pPr>
    </w:p>
    <w:p w14:paraId="02CB5292">
      <w:pPr>
        <w:widowControl/>
        <w:ind w:firstLine="0" w:firstLineChars="0"/>
        <w:jc w:val="center"/>
        <w:rPr>
          <w:rFonts w:hint="eastAsia" w:ascii="楷体" w:hAnsi="楷体" w:eastAsia="楷体" w:cs="楷体"/>
          <w:b/>
          <w:bCs/>
          <w:color w:val="000000" w:themeColor="text1"/>
          <w:sz w:val="28"/>
          <w:szCs w:val="21"/>
          <w14:textFill>
            <w14:solidFill>
              <w14:schemeClr w14:val="tx1"/>
            </w14:solidFill>
          </w14:textFill>
        </w:rPr>
      </w:pPr>
      <w:r>
        <w:rPr>
          <w:rFonts w:hint="eastAsia" w:ascii="楷体" w:hAnsi="楷体" w:eastAsia="楷体" w:cs="楷体"/>
          <w:b/>
          <w:bCs/>
          <w:color w:val="000000" w:themeColor="text1"/>
          <w:sz w:val="28"/>
          <w:szCs w:val="21"/>
          <w14:textFill>
            <w14:solidFill>
              <w14:schemeClr w14:val="tx1"/>
            </w14:solidFill>
          </w14:textFill>
        </w:rPr>
        <w:t>表1：</w:t>
      </w:r>
      <w:r>
        <w:rPr>
          <w:rFonts w:hint="eastAsia" w:ascii="楷体" w:hAnsi="楷体" w:eastAsia="楷体" w:cs="楷体"/>
          <w:b/>
          <w:bCs/>
          <w:color w:val="000000" w:themeColor="text1"/>
          <w:sz w:val="28"/>
          <w:szCs w:val="21"/>
          <w:lang w:val="en-US" w:eastAsia="zh-CN"/>
          <w14:textFill>
            <w14:solidFill>
              <w14:schemeClr w14:val="tx1"/>
            </w14:solidFill>
          </w14:textFill>
        </w:rPr>
        <w:t>中医药大健康</w:t>
      </w:r>
      <w:r>
        <w:rPr>
          <w:rFonts w:hint="eastAsia" w:ascii="楷体" w:hAnsi="楷体" w:eastAsia="楷体" w:cs="楷体"/>
          <w:b/>
          <w:bCs/>
          <w:color w:val="000000" w:themeColor="text1"/>
          <w:sz w:val="28"/>
          <w:szCs w:val="21"/>
          <w14:textFill>
            <w14:solidFill>
              <w14:schemeClr w14:val="tx1"/>
            </w14:solidFill>
          </w14:textFill>
        </w:rPr>
        <w:t>相关政策梳理</w:t>
      </w:r>
    </w:p>
    <w:tbl>
      <w:tblPr>
        <w:tblStyle w:val="20"/>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8"/>
        <w:gridCol w:w="6311"/>
      </w:tblGrid>
      <w:tr w14:paraId="56CB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682" w:type="dxa"/>
            <w:vAlign w:val="center"/>
          </w:tcPr>
          <w:p w14:paraId="5EB491FC">
            <w:pPr>
              <w:pStyle w:val="17"/>
              <w:spacing w:before="0" w:beforeAutospacing="0" w:after="0" w:afterAutospacing="0" w:line="44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发布时间</w:t>
            </w:r>
          </w:p>
        </w:tc>
        <w:tc>
          <w:tcPr>
            <w:tcW w:w="2148" w:type="dxa"/>
            <w:vAlign w:val="center"/>
          </w:tcPr>
          <w:p w14:paraId="13AB41D7">
            <w:pPr>
              <w:pStyle w:val="17"/>
              <w:spacing w:before="0" w:beforeAutospacing="0" w:after="0" w:afterAutospacing="0" w:line="44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发布部门</w:t>
            </w:r>
          </w:p>
        </w:tc>
        <w:tc>
          <w:tcPr>
            <w:tcW w:w="6311" w:type="dxa"/>
            <w:vAlign w:val="center"/>
          </w:tcPr>
          <w:p w14:paraId="7B693A6A">
            <w:pPr>
              <w:pStyle w:val="17"/>
              <w:spacing w:before="0" w:beforeAutospacing="0" w:after="0" w:afterAutospacing="0" w:line="44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政策名称</w:t>
            </w:r>
          </w:p>
        </w:tc>
      </w:tr>
      <w:tr w14:paraId="64E3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33877E4C">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2016年2月</w:t>
            </w:r>
          </w:p>
        </w:tc>
        <w:tc>
          <w:tcPr>
            <w:tcW w:w="2148" w:type="dxa"/>
            <w:vAlign w:val="center"/>
          </w:tcPr>
          <w:p w14:paraId="3B9729D5">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国务院</w:t>
            </w:r>
          </w:p>
        </w:tc>
        <w:tc>
          <w:tcPr>
            <w:tcW w:w="6311" w:type="dxa"/>
            <w:vAlign w:val="center"/>
          </w:tcPr>
          <w:p w14:paraId="0639EF95">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中医药发展战略规划纲要（2016-2030年）</w:t>
            </w:r>
          </w:p>
        </w:tc>
      </w:tr>
      <w:tr w14:paraId="2784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F3361CD">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2016年10月</w:t>
            </w:r>
          </w:p>
        </w:tc>
        <w:tc>
          <w:tcPr>
            <w:tcW w:w="2148" w:type="dxa"/>
            <w:vAlign w:val="center"/>
          </w:tcPr>
          <w:p w14:paraId="7AF2E544">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国务院</w:t>
            </w:r>
          </w:p>
        </w:tc>
        <w:tc>
          <w:tcPr>
            <w:tcW w:w="6311" w:type="dxa"/>
            <w:vAlign w:val="center"/>
          </w:tcPr>
          <w:p w14:paraId="4461C01B">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“健康中国2030”规划纲要</w:t>
            </w:r>
          </w:p>
        </w:tc>
      </w:tr>
      <w:tr w14:paraId="3610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C07EFD5">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2019年10月</w:t>
            </w:r>
          </w:p>
        </w:tc>
        <w:tc>
          <w:tcPr>
            <w:tcW w:w="2148" w:type="dxa"/>
            <w:vAlign w:val="center"/>
          </w:tcPr>
          <w:p w14:paraId="05528AEE">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国务院</w:t>
            </w:r>
          </w:p>
        </w:tc>
        <w:tc>
          <w:tcPr>
            <w:tcW w:w="6311" w:type="dxa"/>
            <w:vAlign w:val="center"/>
          </w:tcPr>
          <w:p w14:paraId="5F583B96">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关于促进中医药传承创新发展的意见</w:t>
            </w:r>
          </w:p>
        </w:tc>
      </w:tr>
      <w:tr w14:paraId="1352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36932D5D">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2021年2月</w:t>
            </w:r>
          </w:p>
        </w:tc>
        <w:tc>
          <w:tcPr>
            <w:tcW w:w="2148" w:type="dxa"/>
            <w:vAlign w:val="center"/>
          </w:tcPr>
          <w:p w14:paraId="4914FB5C">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国务院办公厅</w:t>
            </w:r>
          </w:p>
        </w:tc>
        <w:tc>
          <w:tcPr>
            <w:tcW w:w="6311" w:type="dxa"/>
            <w:vAlign w:val="center"/>
          </w:tcPr>
          <w:p w14:paraId="7E2392DE">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关于加快中医药特色发展的若干政策措施</w:t>
            </w:r>
          </w:p>
        </w:tc>
      </w:tr>
      <w:tr w14:paraId="1226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13966427">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2024年10月</w:t>
            </w:r>
          </w:p>
        </w:tc>
        <w:tc>
          <w:tcPr>
            <w:tcW w:w="2148" w:type="dxa"/>
            <w:vAlign w:val="center"/>
          </w:tcPr>
          <w:p w14:paraId="08BE3646">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国务院办公厅</w:t>
            </w:r>
          </w:p>
        </w:tc>
        <w:tc>
          <w:tcPr>
            <w:tcW w:w="6311" w:type="dxa"/>
            <w:vAlign w:val="center"/>
          </w:tcPr>
          <w:p w14:paraId="1FB7014F">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中医药振兴发展重大工程实施方案的通知</w:t>
            </w:r>
          </w:p>
        </w:tc>
      </w:tr>
      <w:tr w14:paraId="22A8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3A0F09D1">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2018年12月</w:t>
            </w:r>
          </w:p>
        </w:tc>
        <w:tc>
          <w:tcPr>
            <w:tcW w:w="2148" w:type="dxa"/>
            <w:vAlign w:val="center"/>
          </w:tcPr>
          <w:p w14:paraId="68EC8010">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农业农村部、药监局、中医药局</w:t>
            </w:r>
          </w:p>
        </w:tc>
        <w:tc>
          <w:tcPr>
            <w:tcW w:w="6311" w:type="dxa"/>
            <w:vAlign w:val="center"/>
          </w:tcPr>
          <w:p w14:paraId="567C8F0C">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全国道地药材生产基地建设规划（2018—2025年</w:t>
            </w:r>
          </w:p>
        </w:tc>
      </w:tr>
      <w:tr w14:paraId="6823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3041C5EF">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2019年6月</w:t>
            </w:r>
          </w:p>
        </w:tc>
        <w:tc>
          <w:tcPr>
            <w:tcW w:w="2148" w:type="dxa"/>
            <w:vAlign w:val="center"/>
          </w:tcPr>
          <w:p w14:paraId="782BC5B9">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商务部等七部门</w:t>
            </w:r>
          </w:p>
        </w:tc>
        <w:tc>
          <w:tcPr>
            <w:tcW w:w="6311" w:type="dxa"/>
            <w:vAlign w:val="center"/>
          </w:tcPr>
          <w:p w14:paraId="5241CBCE">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关于协同推进肉菜中药材等重要产品信息化追溯体系建设的意见</w:t>
            </w:r>
          </w:p>
        </w:tc>
      </w:tr>
      <w:tr w14:paraId="529B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700DD075">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2022年2月</w:t>
            </w:r>
          </w:p>
        </w:tc>
        <w:tc>
          <w:tcPr>
            <w:tcW w:w="2148" w:type="dxa"/>
            <w:vAlign w:val="center"/>
          </w:tcPr>
          <w:p w14:paraId="618C6962">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国家林业和草原局办公室</w:t>
            </w:r>
          </w:p>
        </w:tc>
        <w:tc>
          <w:tcPr>
            <w:tcW w:w="6311" w:type="dxa"/>
            <w:vAlign w:val="center"/>
          </w:tcPr>
          <w:p w14:paraId="66EEA4BB">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林草中药材产业发展指南</w:t>
            </w:r>
          </w:p>
        </w:tc>
      </w:tr>
      <w:tr w14:paraId="0522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0964F50D">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2022年11月</w:t>
            </w:r>
          </w:p>
        </w:tc>
        <w:tc>
          <w:tcPr>
            <w:tcW w:w="2148" w:type="dxa"/>
            <w:vAlign w:val="center"/>
          </w:tcPr>
          <w:p w14:paraId="1A39CF54">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国家中医药局</w:t>
            </w:r>
          </w:p>
        </w:tc>
        <w:tc>
          <w:tcPr>
            <w:tcW w:w="6311" w:type="dxa"/>
            <w:vAlign w:val="center"/>
          </w:tcPr>
          <w:p w14:paraId="1CCC39BD">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“十四五”中医药文化弘扬工程实施方案</w:t>
            </w:r>
          </w:p>
        </w:tc>
      </w:tr>
      <w:tr w14:paraId="7023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66DFC9B0">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2020年10月</w:t>
            </w:r>
          </w:p>
        </w:tc>
        <w:tc>
          <w:tcPr>
            <w:tcW w:w="2148" w:type="dxa"/>
            <w:vAlign w:val="center"/>
          </w:tcPr>
          <w:p w14:paraId="1F675EFE">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福建省人民政府</w:t>
            </w:r>
          </w:p>
        </w:tc>
        <w:tc>
          <w:tcPr>
            <w:tcW w:w="6311" w:type="dxa"/>
            <w:vAlign w:val="center"/>
          </w:tcPr>
          <w:p w14:paraId="6B26F4FA">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福建省促进中医药传承创新发展若干措施</w:t>
            </w:r>
          </w:p>
        </w:tc>
      </w:tr>
      <w:tr w14:paraId="126C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2D8DD570">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2022年4月</w:t>
            </w:r>
          </w:p>
        </w:tc>
        <w:tc>
          <w:tcPr>
            <w:tcW w:w="2148" w:type="dxa"/>
            <w:vAlign w:val="center"/>
          </w:tcPr>
          <w:p w14:paraId="40409007">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福建省人民政府办公厅</w:t>
            </w:r>
          </w:p>
        </w:tc>
        <w:tc>
          <w:tcPr>
            <w:tcW w:w="6311" w:type="dxa"/>
            <w:vAlign w:val="center"/>
          </w:tcPr>
          <w:p w14:paraId="771E7605">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福建省“十四五”中医药健康发展规划</w:t>
            </w:r>
          </w:p>
        </w:tc>
      </w:tr>
      <w:tr w14:paraId="7988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vAlign w:val="center"/>
          </w:tcPr>
          <w:p w14:paraId="5797120D">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w:t>
            </w:r>
            <w:r>
              <w:rPr>
                <w:rFonts w:hint="eastAsia" w:ascii="Times New Roman" w:hAnsi="Times New Roman" w:cs="Times New Roman"/>
                <w:kern w:val="2"/>
                <w:sz w:val="24"/>
                <w:szCs w:val="24"/>
                <w:lang w:val="en-US" w:eastAsia="zh-CN" w:bidi="ar-SA"/>
              </w:rPr>
              <w:t>3</w:t>
            </w:r>
            <w:r>
              <w:rPr>
                <w:rFonts w:hint="default" w:ascii="Times New Roman" w:hAnsi="Times New Roman" w:cs="Times New Roman" w:eastAsiaTheme="minorEastAsia"/>
                <w:kern w:val="2"/>
                <w:sz w:val="24"/>
                <w:szCs w:val="24"/>
                <w:lang w:val="en-US" w:eastAsia="zh-CN" w:bidi="ar-SA"/>
              </w:rPr>
              <w:t>年9月</w:t>
            </w:r>
          </w:p>
        </w:tc>
        <w:tc>
          <w:tcPr>
            <w:tcW w:w="2148" w:type="dxa"/>
            <w:vAlign w:val="center"/>
          </w:tcPr>
          <w:p w14:paraId="4A2B23BD">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福建省工业和信息化厅等十一部门</w:t>
            </w:r>
          </w:p>
        </w:tc>
        <w:tc>
          <w:tcPr>
            <w:tcW w:w="6311" w:type="dxa"/>
            <w:vAlign w:val="center"/>
          </w:tcPr>
          <w:p w14:paraId="7C9C2E9E">
            <w:pPr>
              <w:widowControl/>
              <w:spacing w:line="440" w:lineRule="exact"/>
              <w:ind w:firstLine="0" w:firstLineChars="0"/>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福建省加快生物医药产业高质量发展的实施方案若干措施</w:t>
            </w:r>
          </w:p>
        </w:tc>
      </w:tr>
      <w:tr w14:paraId="63BF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82" w:type="dxa"/>
            <w:vAlign w:val="center"/>
          </w:tcPr>
          <w:p w14:paraId="01379B62">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2020年6月</w:t>
            </w:r>
          </w:p>
        </w:tc>
        <w:tc>
          <w:tcPr>
            <w:tcW w:w="2148" w:type="dxa"/>
            <w:vAlign w:val="center"/>
          </w:tcPr>
          <w:p w14:paraId="7A1EEE22">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明溪县人民政府办公室</w:t>
            </w:r>
          </w:p>
        </w:tc>
        <w:tc>
          <w:tcPr>
            <w:tcW w:w="6311" w:type="dxa"/>
            <w:vAlign w:val="center"/>
          </w:tcPr>
          <w:p w14:paraId="68B1F718">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“健康明溪2030”行动计划</w:t>
            </w:r>
          </w:p>
        </w:tc>
      </w:tr>
      <w:tr w14:paraId="32B7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0CB80632">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2022年9月</w:t>
            </w:r>
          </w:p>
        </w:tc>
        <w:tc>
          <w:tcPr>
            <w:tcW w:w="2148" w:type="dxa"/>
            <w:vAlign w:val="center"/>
          </w:tcPr>
          <w:p w14:paraId="0567F409">
            <w:pPr>
              <w:widowControl/>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明溪县人民政府</w:t>
            </w:r>
          </w:p>
        </w:tc>
        <w:tc>
          <w:tcPr>
            <w:tcW w:w="6311" w:type="dxa"/>
            <w:vAlign w:val="center"/>
          </w:tcPr>
          <w:p w14:paraId="593574AE">
            <w:pPr>
              <w:widowControl/>
              <w:spacing w:line="440" w:lineRule="exact"/>
              <w:ind w:firstLine="0" w:firstLineChars="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明溪县促进生物医药产业加快聚集发展若干措施</w:t>
            </w:r>
          </w:p>
        </w:tc>
      </w:tr>
    </w:tbl>
    <w:p w14:paraId="578496D4">
      <w:pPr>
        <w:spacing w:line="560" w:lineRule="exact"/>
        <w:ind w:firstLine="640" w:firstLineChars="200"/>
        <w:outlineLvl w:val="2"/>
        <w:rPr>
          <w:rFonts w:hint="eastAsia" w:ascii="仿宋" w:hAnsi="仿宋" w:eastAsia="仿宋" w:cs="仿宋"/>
          <w:kern w:val="2"/>
          <w:sz w:val="32"/>
          <w:szCs w:val="32"/>
          <w:lang w:val="en-US" w:eastAsia="zh-CN" w:bidi="ar-SA"/>
        </w:rPr>
      </w:pPr>
      <w:bookmarkStart w:id="29" w:name="_Toc9859"/>
      <w:r>
        <w:rPr>
          <w:rFonts w:hint="eastAsia" w:ascii="仿宋" w:hAnsi="仿宋" w:eastAsia="仿宋" w:cs="仿宋"/>
          <w:kern w:val="2"/>
          <w:sz w:val="32"/>
          <w:szCs w:val="32"/>
          <w:lang w:val="en-US" w:eastAsia="zh-CN" w:bidi="ar-SA"/>
        </w:rPr>
        <w:t>2.区位优势</w:t>
      </w:r>
      <w:bookmarkEnd w:id="29"/>
    </w:p>
    <w:p w14:paraId="58AEF453">
      <w:pPr>
        <w:pStyle w:val="25"/>
        <w:widowControl/>
        <w:spacing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明溪县位于闽西北、三明市中部，地处武夷山脉东南麓，是闽江源头县。明溪县与三明市9个县（市、区）交界，南北伸延58公里，东西相距97公里，县城距三明市区69公里，距福州市区400公里，是省中部通外省的重要通道之一。</w:t>
      </w:r>
    </w:p>
    <w:p w14:paraId="70E03781">
      <w:pPr>
        <w:spacing w:line="560" w:lineRule="exact"/>
        <w:ind w:firstLine="640" w:firstLineChars="200"/>
        <w:outlineLvl w:val="2"/>
        <w:rPr>
          <w:rFonts w:hint="eastAsia" w:ascii="仿宋" w:hAnsi="仿宋" w:eastAsia="仿宋" w:cs="仿宋"/>
          <w:kern w:val="2"/>
          <w:sz w:val="32"/>
          <w:szCs w:val="32"/>
          <w:lang w:val="en-US" w:eastAsia="zh-CN" w:bidi="ar-SA"/>
        </w:rPr>
      </w:pPr>
      <w:bookmarkStart w:id="30" w:name="_Toc19185"/>
      <w:r>
        <w:rPr>
          <w:rFonts w:hint="eastAsia" w:ascii="仿宋" w:hAnsi="仿宋" w:eastAsia="仿宋" w:cs="仿宋"/>
          <w:kern w:val="2"/>
          <w:sz w:val="32"/>
          <w:szCs w:val="32"/>
          <w:lang w:val="en-US" w:eastAsia="zh-CN" w:bidi="ar-SA"/>
        </w:rPr>
        <w:t>3.资源优势</w:t>
      </w:r>
      <w:bookmarkEnd w:id="30"/>
    </w:p>
    <w:p w14:paraId="5896B93B">
      <w:pPr>
        <w:pStyle w:val="25"/>
        <w:widowControl/>
        <w:spacing w:beforeLines="0" w:afterLines="0"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是革命老区苏区县，是中央苏区早期的21个县之一，至今保留了毛泽东万春桥农民调查会议旧址、红七军团铜铁岭战斗旧址以及东方军司令部、滴水岩红军战地医院等革命遗存，被评为省级双拥模范县。二是生态文明示范区，地处武夷山脉东南麓，是闽江源头县，境内有君子峰国家级自然保护区，全县森林覆盖率达82.12%，国家生态文明建设示范县、国家自然资源节约集约示范县；全县土壤富硒、富锌占比分别达88.71%、96.88%，获评中国硒锌农产品之乡、中国淮山之乡、中国红豆杉之乡；</w:t>
      </w:r>
      <w:r>
        <w:rPr>
          <w:rFonts w:hint="eastAsia" w:ascii="仿宋" w:hAnsi="仿宋" w:eastAsia="仿宋" w:cs="仿宋"/>
          <w:color w:val="auto"/>
          <w:kern w:val="2"/>
          <w:sz w:val="32"/>
          <w:szCs w:val="32"/>
          <w:highlight w:val="none"/>
          <w:lang w:val="en-US" w:eastAsia="zh-CN" w:bidi="ar-SA"/>
        </w:rPr>
        <w:t>全县共有百岁老人9人，人均</w:t>
      </w:r>
      <w:r>
        <w:rPr>
          <w:rFonts w:hint="eastAsia" w:ascii="仿宋" w:hAnsi="仿宋" w:eastAsia="仿宋" w:cs="仿宋"/>
          <w:color w:val="auto"/>
          <w:kern w:val="2"/>
          <w:sz w:val="32"/>
          <w:szCs w:val="32"/>
          <w:lang w:val="en-US" w:eastAsia="zh-CN" w:bidi="ar-SA"/>
        </w:rPr>
        <w:t>预期寿命80.7岁、高于全国2.39岁；位于国际候鸟迁徙重要通道上，记录发现野生鸟类337种，获评中国黄腹角雉之乡、观鸟绝胜全国四佳等称号。三是历史人文荟萃地，闽学鼻祖杨时诞生在明溪县龙湖村，“闽学四贤”都曾在明溪传道授业；有年代为距今5800-3500年的南山遗址是福建首例发现的洞穴和旷野相结合的史前文化遗产、第七批全国重点文保单位，入选2017年“中国六大考古新发现”；境内已发现各类矿产26种，探明储量15种，方解石、重晶石、萤石、宝石储备居全市前列，是中国四大蓝宝石产地之一。四是包容开放新侨乡，全县出国人口有1.44万人，约占总人口的12.3%，遍布意大利、匈牙利等86个国家和地区，有侨眷侨属约5万人。五是新兴产业活力城，新医药、新材料、新能源“三新”产业，是全省重要的原料药绿色生产基地，现有8家国家高新技术企业，2家国家专精特新“小巨人”企业，成为5家上市公司的重要生产基地，生物医药产业集群列入福建省中小企业特色产业集群。</w:t>
      </w:r>
    </w:p>
    <w:p w14:paraId="50657BE2">
      <w:pPr>
        <w:pStyle w:val="6"/>
        <w:spacing w:before="0" w:beforeLines="0" w:after="0" w:afterLines="0" w:line="560" w:lineRule="exact"/>
        <w:ind w:firstLine="640" w:firstLineChars="200"/>
        <w:outlineLvl w:val="0"/>
        <w:rPr>
          <w:rFonts w:hint="default" w:ascii="Times New Roman" w:hAnsi="Times New Roman" w:eastAsia="黑体" w:cs="Times New Roman"/>
          <w:b w:val="0"/>
          <w:bCs w:val="0"/>
          <w:sz w:val="32"/>
          <w:szCs w:val="32"/>
        </w:rPr>
      </w:pPr>
      <w:bookmarkStart w:id="31" w:name="_Toc9095"/>
      <w:bookmarkStart w:id="32" w:name="_Toc15208"/>
      <w:r>
        <w:rPr>
          <w:rFonts w:hint="default" w:ascii="Times New Roman" w:hAnsi="Times New Roman" w:eastAsia="黑体" w:cs="Times New Roman"/>
          <w:b w:val="0"/>
          <w:bCs w:val="0"/>
          <w:sz w:val="32"/>
          <w:szCs w:val="32"/>
        </w:rPr>
        <w:t>二、总体要求</w:t>
      </w:r>
      <w:bookmarkEnd w:id="31"/>
      <w:bookmarkEnd w:id="32"/>
    </w:p>
    <w:p w14:paraId="7AAF914F">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eastAsia="zh-CN"/>
        </w:rPr>
      </w:pPr>
      <w:bookmarkStart w:id="33" w:name="_Toc13826"/>
      <w:bookmarkStart w:id="34" w:name="_Toc3416"/>
      <w:r>
        <w:rPr>
          <w:rFonts w:hint="default" w:ascii="Times New Roman" w:hAnsi="Times New Roman" w:eastAsia="楷体" w:cs="Times New Roman"/>
          <w:b w:val="0"/>
          <w:bCs w:val="0"/>
          <w:kern w:val="0"/>
          <w:sz w:val="32"/>
          <w:szCs w:val="32"/>
          <w:lang w:val="en-US" w:eastAsia="zh-CN"/>
        </w:rPr>
        <w:t>（一）</w:t>
      </w:r>
      <w:r>
        <w:rPr>
          <w:rFonts w:hint="default" w:ascii="Times New Roman" w:hAnsi="Times New Roman" w:eastAsia="楷体" w:cs="Times New Roman"/>
          <w:b w:val="0"/>
          <w:bCs w:val="0"/>
          <w:kern w:val="0"/>
          <w:sz w:val="32"/>
          <w:szCs w:val="32"/>
        </w:rPr>
        <w:t>指导思想</w:t>
      </w:r>
      <w:bookmarkEnd w:id="33"/>
      <w:bookmarkEnd w:id="34"/>
    </w:p>
    <w:p w14:paraId="5D0C25A3">
      <w:pPr>
        <w:pStyle w:val="25"/>
        <w:widowControl/>
        <w:autoSpaceDE/>
        <w:autoSpaceDN/>
        <w:spacing w:beforeLines="0" w:afterLines="0" w:line="560" w:lineRule="exact"/>
        <w:ind w:firstLine="640" w:firstLineChars="200"/>
        <w:jc w:val="left"/>
        <w:rPr>
          <w:rFonts w:hint="eastAsia" w:ascii="仿宋" w:hAnsi="仿宋" w:eastAsia="仿宋" w:cs="仿宋"/>
          <w:color w:val="auto"/>
          <w:kern w:val="2"/>
          <w:sz w:val="32"/>
          <w:szCs w:val="32"/>
          <w:highlight w:val="yellow"/>
          <w:lang w:val="en-US" w:eastAsia="zh-CN" w:bidi="ar-SA"/>
        </w:rPr>
      </w:pPr>
      <w:r>
        <w:rPr>
          <w:rFonts w:hint="eastAsia" w:ascii="仿宋" w:hAnsi="仿宋" w:eastAsia="仿宋" w:cs="仿宋"/>
          <w:color w:val="auto"/>
          <w:kern w:val="2"/>
          <w:sz w:val="32"/>
          <w:szCs w:val="32"/>
          <w:highlight w:val="none"/>
          <w:lang w:val="en-US" w:eastAsia="zh-CN" w:bidi="ar-SA"/>
        </w:rPr>
        <w:t>坚持以习近平新时代中国特色社会主义思想为指导，全面贯彻党的二十大和二十届二中全会精神，按照省委关于深化拓展“深学争优、敢为争先、实干争效”行动和市委推动“红色领航、生态领向、产业领跑、改革领先，促革命老区高质量发展”工作部署，进一步发挥中医药在促进县域卫生健康、经济、科技、文化和生态文明发展中的独特作用，提升产业链供应链现代化水平，强化经济高质量发展的战略支撑，全力推进健康明溪和新时代明溪革命老区高质量发展。</w:t>
      </w:r>
    </w:p>
    <w:p w14:paraId="1B390BDB">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35" w:name="_Toc3938"/>
      <w:bookmarkStart w:id="36" w:name="_Toc5342"/>
      <w:r>
        <w:rPr>
          <w:rFonts w:hint="default" w:ascii="Times New Roman" w:hAnsi="Times New Roman" w:eastAsia="楷体" w:cs="Times New Roman"/>
          <w:b w:val="0"/>
          <w:bCs w:val="0"/>
          <w:kern w:val="0"/>
          <w:sz w:val="32"/>
          <w:szCs w:val="32"/>
          <w:lang w:val="en-US" w:eastAsia="zh-CN"/>
        </w:rPr>
        <w:t>（二）基本原则</w:t>
      </w:r>
      <w:bookmarkEnd w:id="35"/>
      <w:bookmarkEnd w:id="36"/>
    </w:p>
    <w:p w14:paraId="443FDF19">
      <w:pPr>
        <w:widowControl/>
        <w:spacing w:beforeLines="0" w:afterLines="0" w:line="560" w:lineRule="exact"/>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kern w:val="2"/>
          <w:sz w:val="32"/>
          <w:szCs w:val="32"/>
          <w:lang w:val="en-US" w:eastAsia="zh-CN" w:bidi="ar-SA"/>
        </w:rPr>
        <w:t>1.科技引领，创新发展：</w:t>
      </w:r>
      <w:r>
        <w:rPr>
          <w:rFonts w:hint="eastAsia" w:ascii="仿宋" w:hAnsi="仿宋" w:eastAsia="仿宋" w:cs="仿宋"/>
          <w:b w:val="0"/>
          <w:bCs w:val="0"/>
          <w:color w:val="auto"/>
          <w:kern w:val="2"/>
          <w:sz w:val="32"/>
          <w:szCs w:val="32"/>
          <w:lang w:val="en-US" w:eastAsia="zh-CN" w:bidi="ar-SA"/>
        </w:rPr>
        <w:t>强化科技对中药材产业发展的推动作用，逐步消除不利于调动和发挥社会力量积极性和创造力的体制因素。以技术创新为引领，以新质生产力为引擎，实现中药材种植、加工、流通领域关键技术、重大产品的创新突破，推动业态创新、模式创新和机制创新，提升产业核心竞争力。</w:t>
      </w:r>
    </w:p>
    <w:p w14:paraId="4517C0B1">
      <w:pPr>
        <w:pStyle w:val="25"/>
        <w:widowControl/>
        <w:spacing w:line="560" w:lineRule="exact"/>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kern w:val="2"/>
          <w:sz w:val="32"/>
          <w:szCs w:val="32"/>
          <w:lang w:val="en-US" w:eastAsia="zh-CN" w:bidi="ar-SA"/>
        </w:rPr>
        <w:t>2.内外结合，以外为主：</w:t>
      </w:r>
      <w:r>
        <w:rPr>
          <w:rFonts w:hint="eastAsia" w:ascii="仿宋" w:hAnsi="仿宋" w:eastAsia="仿宋" w:cs="仿宋"/>
          <w:b w:val="0"/>
          <w:bCs w:val="0"/>
          <w:color w:val="auto"/>
          <w:kern w:val="2"/>
          <w:sz w:val="32"/>
          <w:szCs w:val="32"/>
          <w:lang w:val="en-US" w:eastAsia="zh-CN" w:bidi="ar-SA"/>
        </w:rPr>
        <w:t>一方面激发明溪内部市场活力，培育本土中医药企业做大做强，延伸产业链，引导中医药产业快速发展，另一方面充分利用明溪的区位优势和资源优势，加大力度吸引外部企业落户明溪，进一步扩大国内市场、欧洲市场的吸引力，加快构建以县外市场为主体、县内县外相互促进的新发展格局。</w:t>
      </w:r>
    </w:p>
    <w:p w14:paraId="0B2E09CF">
      <w:pPr>
        <w:widowControl/>
        <w:spacing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kern w:val="2"/>
          <w:sz w:val="32"/>
          <w:szCs w:val="32"/>
          <w:lang w:val="en-US" w:eastAsia="zh-CN" w:bidi="ar-SA"/>
        </w:rPr>
        <w:t>3.资源整合，集聚发展：</w:t>
      </w:r>
      <w:r>
        <w:rPr>
          <w:rFonts w:hint="eastAsia" w:ascii="仿宋" w:hAnsi="仿宋" w:eastAsia="仿宋" w:cs="仿宋"/>
          <w:b w:val="0"/>
          <w:bCs w:val="0"/>
          <w:color w:val="auto"/>
          <w:kern w:val="2"/>
          <w:sz w:val="32"/>
          <w:szCs w:val="32"/>
          <w:lang w:val="en-US" w:eastAsia="zh-CN" w:bidi="ar-SA"/>
        </w:rPr>
        <w:t>整合空间资源，规划建设中医药健康产业园区、基地，引导企业聚集</w:t>
      </w:r>
      <w:r>
        <w:rPr>
          <w:rFonts w:hint="eastAsia" w:ascii="仿宋" w:hAnsi="仿宋" w:eastAsia="仿宋" w:cs="仿宋"/>
          <w:color w:val="auto"/>
          <w:kern w:val="2"/>
          <w:sz w:val="32"/>
          <w:szCs w:val="32"/>
          <w:lang w:val="en-US" w:eastAsia="zh-CN" w:bidi="ar-SA"/>
        </w:rPr>
        <w:t>，优化产业布局，实现大健康产业项目集聚发展。强化产业分工，推动企业协作，形成协同发展、创新高效、竞争力强的产业集群。与京、闽知名的中医药大学、研究院和专家进行深入、稳定、持续的合作，立足明溪，联动三明地区，辐射海峡两岸，推动大健康有关部门政、产、学、研融合发展。</w:t>
      </w:r>
    </w:p>
    <w:p w14:paraId="4793A61F">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4.统筹协调，分步实施：</w:t>
      </w:r>
      <w:r>
        <w:rPr>
          <w:rFonts w:hint="eastAsia" w:ascii="仿宋" w:hAnsi="仿宋" w:eastAsia="仿宋" w:cs="仿宋"/>
          <w:b w:val="0"/>
          <w:bCs w:val="0"/>
          <w:color w:val="auto"/>
          <w:kern w:val="2"/>
          <w:sz w:val="32"/>
          <w:szCs w:val="32"/>
          <w:lang w:val="en-US" w:eastAsia="zh-CN" w:bidi="ar-SA"/>
        </w:rPr>
        <w:t>统筹县发展和改革局、农业农村局、林业局、卫健局、文体和旅游局、</w:t>
      </w:r>
      <w:r>
        <w:rPr>
          <w:rFonts w:hint="eastAsia" w:ascii="仿宋" w:hAnsi="仿宋" w:eastAsia="仿宋" w:cs="仿宋"/>
          <w:color w:val="auto"/>
          <w:kern w:val="2"/>
          <w:sz w:val="32"/>
          <w:szCs w:val="32"/>
          <w:lang w:val="en-US" w:eastAsia="zh-CN" w:bidi="ar-SA"/>
        </w:rPr>
        <w:t>财政局等多个部门，紧紧围绕中药材全产业链、康养、文化旅游等领域，明确目标，按阶段分步实施，促进经济结构转型升级，带动就业，助推乡村振兴。</w:t>
      </w:r>
    </w:p>
    <w:p w14:paraId="30FDE9B5">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37" w:name="_Toc28581"/>
      <w:bookmarkStart w:id="38" w:name="_Toc14610"/>
      <w:r>
        <w:rPr>
          <w:rFonts w:hint="default" w:ascii="Times New Roman" w:hAnsi="Times New Roman" w:eastAsia="楷体" w:cs="Times New Roman"/>
          <w:b w:val="0"/>
          <w:bCs w:val="0"/>
          <w:kern w:val="0"/>
          <w:sz w:val="32"/>
          <w:szCs w:val="32"/>
          <w:lang w:val="en-US" w:eastAsia="zh-CN"/>
        </w:rPr>
        <w:t>（三）发展定位</w:t>
      </w:r>
      <w:bookmarkEnd w:id="37"/>
      <w:bookmarkEnd w:id="38"/>
    </w:p>
    <w:p w14:paraId="0B5D314C">
      <w:pPr>
        <w:pStyle w:val="25"/>
        <w:widowControl/>
        <w:spacing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推动中医药服务与红色资源、农业、食品加工业、旅游、文化、体育、康养等深度融合，打造中医药健康服务全产业链，引导城乡居民养成健康的生产生活方式，努力全方位、全周期保障人民健康，做大做强中医药大健康产业，成为明溪富民强县的特色产业、支柱产业、新动能产业，努力打造“中国•明溪智慧健康小城”。</w:t>
      </w:r>
    </w:p>
    <w:p w14:paraId="669307CD">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39" w:name="_Toc29164"/>
      <w:bookmarkStart w:id="40" w:name="_Toc16141"/>
      <w:r>
        <w:rPr>
          <w:rFonts w:hint="default" w:ascii="Times New Roman" w:hAnsi="Times New Roman" w:eastAsia="楷体" w:cs="Times New Roman"/>
          <w:b w:val="0"/>
          <w:bCs w:val="0"/>
          <w:kern w:val="0"/>
          <w:sz w:val="32"/>
          <w:szCs w:val="32"/>
          <w:lang w:val="en-US" w:eastAsia="zh-CN"/>
        </w:rPr>
        <w:t>（四）发展目标</w:t>
      </w:r>
      <w:bookmarkEnd w:id="39"/>
      <w:bookmarkEnd w:id="40"/>
    </w:p>
    <w:p w14:paraId="6722EDFE">
      <w:pPr>
        <w:pStyle w:val="25"/>
        <w:widowControl/>
        <w:spacing w:line="560" w:lineRule="exact"/>
        <w:ind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到2025年，全县中药材种植面积达5万亩，建成灵芝和淮山等优质中药材标准化种植基地。培育1—2家具有一定规模和产能的中药材深加工企业、保健用品企业，打造形成1个具有示范效应的中医养生、观鸟休闲、森林康养的中医药大健康产业特色小街或者特色小镇。中医药健康产业总额规模达到8亿元。</w:t>
      </w:r>
    </w:p>
    <w:p w14:paraId="5D60A0BB">
      <w:pPr>
        <w:pStyle w:val="25"/>
        <w:widowControl/>
        <w:spacing w:line="560" w:lineRule="exact"/>
        <w:ind w:firstLine="640" w:firstLineChars="200"/>
        <w:jc w:val="left"/>
        <w:rPr>
          <w:rFonts w:hint="default" w:ascii="Times New Roman" w:hAnsi="Times New Roman" w:eastAsia="仿宋_GB2312" w:cs="Times New Roman"/>
          <w:b w:val="0"/>
          <w:color w:val="auto"/>
          <w:kern w:val="2"/>
          <w:sz w:val="32"/>
          <w:szCs w:val="32"/>
        </w:rPr>
      </w:pPr>
      <w:r>
        <w:rPr>
          <w:rFonts w:hint="eastAsia" w:ascii="仿宋" w:hAnsi="仿宋" w:eastAsia="仿宋" w:cs="仿宋"/>
          <w:color w:val="auto"/>
          <w:kern w:val="2"/>
          <w:sz w:val="32"/>
          <w:szCs w:val="32"/>
          <w:lang w:val="en-US" w:eastAsia="zh-CN" w:bidi="ar-SA"/>
        </w:rPr>
        <w:t>到2030年，全县中药材种植面积达到10万亩左右，年产值过亿元的中药企业、保健用品企业力争达到2—3家，培育1-2个中药品牌，建成一个以中药材初加工、精深加工、药食同源产品、保健用品为主的三园一体的中药产业园区，初步建成一个集中药材仓储与现代物流于一体的中药材交易中心，打造成福建省重要的中药材种植加工基地和仓储信息中心。中医药健康产业总额规模突破14亿元，占GDP的5%以上，成为全县经济的支柱产业。</w:t>
      </w:r>
    </w:p>
    <w:p w14:paraId="70926E77">
      <w:pPr>
        <w:pStyle w:val="9"/>
        <w:ind w:firstLine="0" w:firstLineChars="0"/>
        <w:jc w:val="center"/>
        <w:rPr>
          <w:rFonts w:hint="default" w:ascii="Times New Roman" w:hAnsi="Times New Roman" w:eastAsia="楷体" w:cs="Times New Roman"/>
          <w:b/>
          <w:color w:val="000000" w:themeColor="text1"/>
          <w:sz w:val="28"/>
          <w:szCs w:val="28"/>
          <w14:textFill>
            <w14:solidFill>
              <w14:schemeClr w14:val="tx1"/>
            </w14:solidFill>
          </w14:textFill>
        </w:rPr>
      </w:pPr>
      <w:r>
        <w:rPr>
          <w:rFonts w:hint="default" w:ascii="Times New Roman" w:hAnsi="Times New Roman" w:eastAsia="楷体" w:cs="Times New Roman"/>
          <w:b/>
          <w:color w:val="000000" w:themeColor="text1"/>
          <w:sz w:val="28"/>
          <w:szCs w:val="28"/>
          <w14:textFill>
            <w14:solidFill>
              <w14:schemeClr w14:val="tx1"/>
            </w14:solidFill>
          </w14:textFill>
        </w:rPr>
        <w:t>表2：明溪县</w:t>
      </w:r>
      <w:r>
        <w:rPr>
          <w:rFonts w:hint="default" w:ascii="Times New Roman" w:hAnsi="Times New Roman" w:eastAsia="楷体" w:cs="Times New Roman"/>
          <w:b/>
          <w:color w:val="000000" w:themeColor="text1"/>
          <w:sz w:val="28"/>
          <w:szCs w:val="28"/>
          <w:lang w:val="en-US" w:eastAsia="zh-CN"/>
          <w14:textFill>
            <w14:solidFill>
              <w14:schemeClr w14:val="tx1"/>
            </w14:solidFill>
          </w14:textFill>
        </w:rPr>
        <w:t>大健康</w:t>
      </w:r>
      <w:r>
        <w:rPr>
          <w:rFonts w:hint="default" w:ascii="Times New Roman" w:hAnsi="Times New Roman" w:eastAsia="楷体" w:cs="Times New Roman"/>
          <w:b/>
          <w:color w:val="000000" w:themeColor="text1"/>
          <w:sz w:val="28"/>
          <w:szCs w:val="28"/>
          <w14:textFill>
            <w14:solidFill>
              <w14:schemeClr w14:val="tx1"/>
            </w14:solidFill>
          </w14:textFill>
        </w:rPr>
        <w:t>产业指标体系</w:t>
      </w:r>
    </w:p>
    <w:tbl>
      <w:tblPr>
        <w:tblStyle w:val="20"/>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251"/>
        <w:gridCol w:w="840"/>
        <w:gridCol w:w="1310"/>
        <w:gridCol w:w="1650"/>
        <w:gridCol w:w="1243"/>
      </w:tblGrid>
      <w:tr w14:paraId="6764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2" w:type="dxa"/>
            <w:vAlign w:val="center"/>
          </w:tcPr>
          <w:p w14:paraId="3895135A">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一级</w:t>
            </w:r>
          </w:p>
          <w:p w14:paraId="5C27B32C">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指标</w:t>
            </w:r>
          </w:p>
        </w:tc>
        <w:tc>
          <w:tcPr>
            <w:tcW w:w="2251" w:type="dxa"/>
            <w:vAlign w:val="center"/>
          </w:tcPr>
          <w:p w14:paraId="05C523FB">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二级指标</w:t>
            </w:r>
          </w:p>
        </w:tc>
        <w:tc>
          <w:tcPr>
            <w:tcW w:w="840" w:type="dxa"/>
            <w:vAlign w:val="center"/>
          </w:tcPr>
          <w:p w14:paraId="7BA8DCD7">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单位</w:t>
            </w:r>
          </w:p>
        </w:tc>
        <w:tc>
          <w:tcPr>
            <w:tcW w:w="1310" w:type="dxa"/>
            <w:vAlign w:val="center"/>
          </w:tcPr>
          <w:p w14:paraId="08E410FA">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2022年</w:t>
            </w:r>
          </w:p>
          <w:p w14:paraId="36B8CA25">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基数</w:t>
            </w:r>
          </w:p>
        </w:tc>
        <w:tc>
          <w:tcPr>
            <w:tcW w:w="1650" w:type="dxa"/>
            <w:vAlign w:val="center"/>
          </w:tcPr>
          <w:p w14:paraId="0D548176">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2025年目标</w:t>
            </w:r>
          </w:p>
        </w:tc>
        <w:tc>
          <w:tcPr>
            <w:tcW w:w="1243" w:type="dxa"/>
            <w:vAlign w:val="center"/>
          </w:tcPr>
          <w:p w14:paraId="6E9B53A6">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2030年</w:t>
            </w:r>
          </w:p>
          <w:p w14:paraId="793A5264">
            <w:pPr>
              <w:pStyle w:val="17"/>
              <w:spacing w:before="0" w:beforeAutospacing="0" w:after="0" w:afterAutospacing="0" w:line="400" w:lineRule="exact"/>
              <w:ind w:firstLine="0" w:firstLineChars="0"/>
              <w:jc w:val="center"/>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目标</w:t>
            </w:r>
          </w:p>
        </w:tc>
      </w:tr>
      <w:tr w14:paraId="2A35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2" w:type="dxa"/>
            <w:vAlign w:val="center"/>
          </w:tcPr>
          <w:p w14:paraId="463B6817">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第一产业</w:t>
            </w:r>
          </w:p>
        </w:tc>
        <w:tc>
          <w:tcPr>
            <w:tcW w:w="2251" w:type="dxa"/>
            <w:vAlign w:val="center"/>
          </w:tcPr>
          <w:p w14:paraId="6B283405">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中药材种植面积</w:t>
            </w:r>
          </w:p>
        </w:tc>
        <w:tc>
          <w:tcPr>
            <w:tcW w:w="840" w:type="dxa"/>
            <w:vAlign w:val="center"/>
          </w:tcPr>
          <w:p w14:paraId="7097039C">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万亩</w:t>
            </w:r>
          </w:p>
        </w:tc>
        <w:tc>
          <w:tcPr>
            <w:tcW w:w="1310" w:type="dxa"/>
            <w:vAlign w:val="center"/>
          </w:tcPr>
          <w:p w14:paraId="18B3E313">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2.83</w:t>
            </w:r>
          </w:p>
        </w:tc>
        <w:tc>
          <w:tcPr>
            <w:tcW w:w="1650" w:type="dxa"/>
            <w:vAlign w:val="center"/>
          </w:tcPr>
          <w:p w14:paraId="40D267F1">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5</w:t>
            </w:r>
          </w:p>
        </w:tc>
        <w:tc>
          <w:tcPr>
            <w:tcW w:w="1243" w:type="dxa"/>
            <w:vAlign w:val="center"/>
          </w:tcPr>
          <w:p w14:paraId="72FD6AF0">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10</w:t>
            </w:r>
          </w:p>
        </w:tc>
      </w:tr>
      <w:tr w14:paraId="350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2" w:type="dxa"/>
            <w:vAlign w:val="center"/>
          </w:tcPr>
          <w:p w14:paraId="758DB6C9">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第二产业</w:t>
            </w:r>
          </w:p>
        </w:tc>
        <w:tc>
          <w:tcPr>
            <w:tcW w:w="2251" w:type="dxa"/>
            <w:vAlign w:val="center"/>
          </w:tcPr>
          <w:p w14:paraId="4039379E">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中药材加工企业</w:t>
            </w:r>
          </w:p>
        </w:tc>
        <w:tc>
          <w:tcPr>
            <w:tcW w:w="840" w:type="dxa"/>
            <w:vAlign w:val="center"/>
          </w:tcPr>
          <w:p w14:paraId="3CEB4B75">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14D7B2BD">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650" w:type="dxa"/>
            <w:vAlign w:val="center"/>
          </w:tcPr>
          <w:p w14:paraId="6CC6FAC8">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3</w:t>
            </w:r>
          </w:p>
        </w:tc>
        <w:tc>
          <w:tcPr>
            <w:tcW w:w="1243" w:type="dxa"/>
            <w:vAlign w:val="center"/>
          </w:tcPr>
          <w:p w14:paraId="13701773">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5</w:t>
            </w:r>
          </w:p>
        </w:tc>
      </w:tr>
      <w:tr w14:paraId="4D01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2" w:type="dxa"/>
            <w:vAlign w:val="center"/>
          </w:tcPr>
          <w:p w14:paraId="43613DA4">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中医药健康产业</w:t>
            </w:r>
          </w:p>
        </w:tc>
        <w:tc>
          <w:tcPr>
            <w:tcW w:w="2251" w:type="dxa"/>
            <w:vAlign w:val="center"/>
          </w:tcPr>
          <w:p w14:paraId="29D2CD96">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产业总值</w:t>
            </w:r>
          </w:p>
        </w:tc>
        <w:tc>
          <w:tcPr>
            <w:tcW w:w="840" w:type="dxa"/>
            <w:vAlign w:val="center"/>
          </w:tcPr>
          <w:p w14:paraId="11E17EE5">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亿元</w:t>
            </w:r>
          </w:p>
        </w:tc>
        <w:tc>
          <w:tcPr>
            <w:tcW w:w="1310" w:type="dxa"/>
            <w:vAlign w:val="center"/>
          </w:tcPr>
          <w:p w14:paraId="621CBEF9">
            <w:pPr>
              <w:pStyle w:val="17"/>
              <w:spacing w:before="0" w:beforeAutospacing="0" w:after="0" w:afterAutospacing="0"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w:t>
            </w:r>
          </w:p>
        </w:tc>
        <w:tc>
          <w:tcPr>
            <w:tcW w:w="1650" w:type="dxa"/>
            <w:vAlign w:val="center"/>
          </w:tcPr>
          <w:p w14:paraId="20003F93">
            <w:pPr>
              <w:pStyle w:val="17"/>
              <w:spacing w:before="0" w:beforeAutospacing="0" w:after="0" w:afterAutospacing="0" w:line="400" w:lineRule="exact"/>
              <w:ind w:firstLine="0" w:firstLineChars="0"/>
              <w:jc w:val="center"/>
              <w:rPr>
                <w:rFonts w:hint="default" w:ascii="Times New Roman" w:hAnsi="Times New Roman" w:cs="Times New Roman" w:eastAsiaTheme="minorEastAsia"/>
                <w:color w:val="FF0000"/>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8</w:t>
            </w:r>
          </w:p>
        </w:tc>
        <w:tc>
          <w:tcPr>
            <w:tcW w:w="1243" w:type="dxa"/>
            <w:vAlign w:val="center"/>
          </w:tcPr>
          <w:p w14:paraId="40650438">
            <w:pPr>
              <w:pStyle w:val="17"/>
              <w:spacing w:before="0" w:beforeAutospacing="0" w:after="0" w:afterAutospacing="0" w:line="400" w:lineRule="exact"/>
              <w:ind w:firstLine="0" w:firstLineChars="0"/>
              <w:jc w:val="center"/>
              <w:rPr>
                <w:rFonts w:hint="default" w:ascii="Times New Roman" w:hAnsi="Times New Roman" w:cs="Times New Roman" w:eastAsiaTheme="minorEastAsia"/>
                <w:color w:val="FF0000"/>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14</w:t>
            </w:r>
          </w:p>
        </w:tc>
      </w:tr>
      <w:tr w14:paraId="79E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vAlign w:val="center"/>
          </w:tcPr>
          <w:p w14:paraId="6691631C">
            <w:pPr>
              <w:pStyle w:val="8"/>
              <w:spacing w:line="400" w:lineRule="exact"/>
              <w:ind w:firstLine="0"/>
              <w:jc w:val="both"/>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产业规模</w:t>
            </w:r>
          </w:p>
        </w:tc>
        <w:tc>
          <w:tcPr>
            <w:tcW w:w="2251" w:type="dxa"/>
            <w:vAlign w:val="center"/>
          </w:tcPr>
          <w:p w14:paraId="0A2B659B">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规模以上中医药企业数量</w:t>
            </w:r>
          </w:p>
        </w:tc>
        <w:tc>
          <w:tcPr>
            <w:tcW w:w="840" w:type="dxa"/>
            <w:vAlign w:val="center"/>
          </w:tcPr>
          <w:p w14:paraId="21323E58">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52F88BE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650" w:type="dxa"/>
            <w:vAlign w:val="center"/>
          </w:tcPr>
          <w:p w14:paraId="5CB4BD37">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w:t>
            </w:r>
          </w:p>
        </w:tc>
        <w:tc>
          <w:tcPr>
            <w:tcW w:w="1243" w:type="dxa"/>
            <w:vAlign w:val="center"/>
          </w:tcPr>
          <w:p w14:paraId="637B43E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3</w:t>
            </w:r>
          </w:p>
        </w:tc>
      </w:tr>
      <w:tr w14:paraId="070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vAlign w:val="center"/>
          </w:tcPr>
          <w:p w14:paraId="3FE39A1E">
            <w:pPr>
              <w:pStyle w:val="8"/>
              <w:spacing w:line="400" w:lineRule="exact"/>
              <w:ind w:firstLine="560"/>
              <w:jc w:val="center"/>
              <w:rPr>
                <w:rFonts w:hint="default" w:ascii="Times New Roman" w:hAnsi="Times New Roman" w:cs="Times New Roman" w:eastAsiaTheme="minorEastAsia"/>
                <w:kern w:val="2"/>
                <w:sz w:val="24"/>
                <w:szCs w:val="24"/>
                <w:lang w:val="en-US" w:eastAsia="zh-CN" w:bidi="ar-SA"/>
              </w:rPr>
            </w:pPr>
          </w:p>
        </w:tc>
        <w:tc>
          <w:tcPr>
            <w:tcW w:w="2251" w:type="dxa"/>
            <w:vAlign w:val="center"/>
          </w:tcPr>
          <w:p w14:paraId="6AA2A92D">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规模以上中医药企业主营收入</w:t>
            </w:r>
          </w:p>
        </w:tc>
        <w:tc>
          <w:tcPr>
            <w:tcW w:w="840" w:type="dxa"/>
            <w:vAlign w:val="center"/>
          </w:tcPr>
          <w:p w14:paraId="108E484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亿元</w:t>
            </w:r>
          </w:p>
        </w:tc>
        <w:tc>
          <w:tcPr>
            <w:tcW w:w="1310" w:type="dxa"/>
            <w:vAlign w:val="center"/>
          </w:tcPr>
          <w:p w14:paraId="7274B377">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w:t>
            </w:r>
          </w:p>
        </w:tc>
        <w:tc>
          <w:tcPr>
            <w:tcW w:w="1650" w:type="dxa"/>
            <w:vAlign w:val="center"/>
          </w:tcPr>
          <w:p w14:paraId="37DD0139">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6</w:t>
            </w:r>
          </w:p>
        </w:tc>
        <w:tc>
          <w:tcPr>
            <w:tcW w:w="1243" w:type="dxa"/>
            <w:vAlign w:val="center"/>
          </w:tcPr>
          <w:p w14:paraId="3E412EE9">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10</w:t>
            </w:r>
          </w:p>
        </w:tc>
      </w:tr>
      <w:tr w14:paraId="7E78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vAlign w:val="center"/>
          </w:tcPr>
          <w:p w14:paraId="0854A663">
            <w:pPr>
              <w:widowControl/>
              <w:spacing w:line="400" w:lineRule="exac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集聚效应</w:t>
            </w:r>
          </w:p>
          <w:p w14:paraId="5E685551">
            <w:pPr>
              <w:widowControl/>
              <w:spacing w:line="400" w:lineRule="exact"/>
              <w:ind w:firstLine="480" w:firstLineChars="200"/>
              <w:jc w:val="left"/>
              <w:rPr>
                <w:rFonts w:hint="default" w:ascii="Times New Roman" w:hAnsi="Times New Roman" w:cs="Times New Roman" w:eastAsiaTheme="minorEastAsia"/>
                <w:kern w:val="2"/>
                <w:sz w:val="24"/>
                <w:szCs w:val="24"/>
                <w:lang w:val="en-US" w:eastAsia="zh-CN" w:bidi="ar-SA"/>
              </w:rPr>
            </w:pPr>
          </w:p>
        </w:tc>
        <w:tc>
          <w:tcPr>
            <w:tcW w:w="2251" w:type="dxa"/>
            <w:vAlign w:val="center"/>
          </w:tcPr>
          <w:p w14:paraId="2D62B0C0">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上市中医药</w:t>
            </w:r>
          </w:p>
          <w:p w14:paraId="51531B7A">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企业数量</w:t>
            </w:r>
          </w:p>
        </w:tc>
        <w:tc>
          <w:tcPr>
            <w:tcW w:w="840" w:type="dxa"/>
            <w:vAlign w:val="center"/>
          </w:tcPr>
          <w:p w14:paraId="14C20AA2">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5B4F68B8">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650" w:type="dxa"/>
            <w:vAlign w:val="center"/>
          </w:tcPr>
          <w:p w14:paraId="128B8001">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243" w:type="dxa"/>
            <w:vAlign w:val="center"/>
          </w:tcPr>
          <w:p w14:paraId="5122A5A4">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w:t>
            </w:r>
          </w:p>
        </w:tc>
      </w:tr>
      <w:tr w14:paraId="6301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42" w:type="dxa"/>
            <w:vMerge w:val="continue"/>
            <w:vAlign w:val="center"/>
          </w:tcPr>
          <w:p w14:paraId="1F397CC9">
            <w:pPr>
              <w:pStyle w:val="8"/>
              <w:spacing w:line="400" w:lineRule="exact"/>
              <w:ind w:firstLine="560"/>
              <w:jc w:val="center"/>
              <w:rPr>
                <w:rFonts w:hint="default" w:ascii="Times New Roman" w:hAnsi="Times New Roman" w:cs="Times New Roman" w:eastAsiaTheme="minorEastAsia"/>
                <w:kern w:val="2"/>
                <w:sz w:val="24"/>
                <w:szCs w:val="24"/>
                <w:lang w:val="en-US" w:eastAsia="zh-CN" w:bidi="ar-SA"/>
              </w:rPr>
            </w:pPr>
          </w:p>
        </w:tc>
        <w:tc>
          <w:tcPr>
            <w:tcW w:w="2251" w:type="dxa"/>
            <w:vAlign w:val="center"/>
          </w:tcPr>
          <w:p w14:paraId="26849C89">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聚集企业数量</w:t>
            </w:r>
          </w:p>
        </w:tc>
        <w:tc>
          <w:tcPr>
            <w:tcW w:w="840" w:type="dxa"/>
            <w:vAlign w:val="center"/>
          </w:tcPr>
          <w:p w14:paraId="79D65105">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6DCE0087">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13</w:t>
            </w:r>
          </w:p>
        </w:tc>
        <w:tc>
          <w:tcPr>
            <w:tcW w:w="1650" w:type="dxa"/>
            <w:vAlign w:val="center"/>
          </w:tcPr>
          <w:p w14:paraId="048CDC4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17</w:t>
            </w:r>
          </w:p>
        </w:tc>
        <w:tc>
          <w:tcPr>
            <w:tcW w:w="1243" w:type="dxa"/>
            <w:vAlign w:val="center"/>
          </w:tcPr>
          <w:p w14:paraId="70762265">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22</w:t>
            </w:r>
          </w:p>
        </w:tc>
      </w:tr>
      <w:tr w14:paraId="2D0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vAlign w:val="center"/>
          </w:tcPr>
          <w:p w14:paraId="6719D3CC">
            <w:pPr>
              <w:widowControl/>
              <w:spacing w:line="400" w:lineRule="exact"/>
              <w:jc w:val="left"/>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创新能力</w:t>
            </w:r>
          </w:p>
          <w:p w14:paraId="1925E0B5">
            <w:pPr>
              <w:widowControl/>
              <w:spacing w:line="400" w:lineRule="exact"/>
              <w:ind w:firstLine="480" w:firstLineChars="200"/>
              <w:jc w:val="left"/>
              <w:rPr>
                <w:rFonts w:hint="default" w:ascii="Times New Roman" w:hAnsi="Times New Roman" w:cs="Times New Roman" w:eastAsiaTheme="minorEastAsia"/>
                <w:kern w:val="2"/>
                <w:sz w:val="24"/>
                <w:szCs w:val="24"/>
                <w:lang w:val="en-US" w:eastAsia="zh-CN" w:bidi="ar-SA"/>
              </w:rPr>
            </w:pPr>
          </w:p>
        </w:tc>
        <w:tc>
          <w:tcPr>
            <w:tcW w:w="2251" w:type="dxa"/>
            <w:vAlign w:val="center"/>
          </w:tcPr>
          <w:p w14:paraId="5FBA3AE9">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保健食品证书</w:t>
            </w:r>
          </w:p>
        </w:tc>
        <w:tc>
          <w:tcPr>
            <w:tcW w:w="840" w:type="dxa"/>
            <w:vAlign w:val="center"/>
          </w:tcPr>
          <w:p w14:paraId="74AB69E1">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6830FDAB">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650" w:type="dxa"/>
            <w:vAlign w:val="center"/>
          </w:tcPr>
          <w:p w14:paraId="09D4C69D">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243" w:type="dxa"/>
            <w:vAlign w:val="center"/>
          </w:tcPr>
          <w:p w14:paraId="589D7279">
            <w:pPr>
              <w:widowControl/>
              <w:spacing w:line="400" w:lineRule="exact"/>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w:t>
            </w:r>
          </w:p>
        </w:tc>
      </w:tr>
      <w:tr w14:paraId="231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vAlign w:val="center"/>
          </w:tcPr>
          <w:p w14:paraId="71EF535D">
            <w:pPr>
              <w:pStyle w:val="8"/>
              <w:spacing w:line="400" w:lineRule="exact"/>
              <w:ind w:firstLine="560"/>
              <w:jc w:val="center"/>
              <w:rPr>
                <w:rFonts w:hint="default" w:ascii="Times New Roman" w:hAnsi="Times New Roman" w:cs="Times New Roman" w:eastAsiaTheme="minorEastAsia"/>
                <w:kern w:val="2"/>
                <w:sz w:val="24"/>
                <w:szCs w:val="24"/>
                <w:lang w:val="en-US" w:eastAsia="zh-CN" w:bidi="ar-SA"/>
              </w:rPr>
            </w:pPr>
          </w:p>
        </w:tc>
        <w:tc>
          <w:tcPr>
            <w:tcW w:w="2251" w:type="dxa"/>
            <w:vAlign w:val="center"/>
          </w:tcPr>
          <w:p w14:paraId="6B4191C9">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院内制剂备案</w:t>
            </w:r>
          </w:p>
        </w:tc>
        <w:tc>
          <w:tcPr>
            <w:tcW w:w="840" w:type="dxa"/>
            <w:vAlign w:val="center"/>
          </w:tcPr>
          <w:p w14:paraId="74ABC977">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31B64D5C">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650" w:type="dxa"/>
            <w:vAlign w:val="center"/>
          </w:tcPr>
          <w:p w14:paraId="431479D7">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c>
          <w:tcPr>
            <w:tcW w:w="1243" w:type="dxa"/>
            <w:vAlign w:val="center"/>
          </w:tcPr>
          <w:p w14:paraId="36968F1B">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2</w:t>
            </w:r>
          </w:p>
        </w:tc>
      </w:tr>
      <w:tr w14:paraId="6F79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vAlign w:val="center"/>
          </w:tcPr>
          <w:p w14:paraId="53212660">
            <w:pPr>
              <w:pStyle w:val="8"/>
              <w:spacing w:line="400" w:lineRule="exact"/>
              <w:ind w:firstLine="560"/>
              <w:jc w:val="center"/>
              <w:rPr>
                <w:rFonts w:hint="default" w:ascii="Times New Roman" w:hAnsi="Times New Roman" w:cs="Times New Roman" w:eastAsiaTheme="minorEastAsia"/>
                <w:kern w:val="2"/>
                <w:sz w:val="24"/>
                <w:szCs w:val="24"/>
                <w:lang w:val="en-US" w:eastAsia="zh-CN" w:bidi="ar-SA"/>
              </w:rPr>
            </w:pPr>
          </w:p>
        </w:tc>
        <w:tc>
          <w:tcPr>
            <w:tcW w:w="2251" w:type="dxa"/>
            <w:vAlign w:val="center"/>
          </w:tcPr>
          <w:p w14:paraId="20F8CE50">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临床试验</w:t>
            </w:r>
            <w:r>
              <w:rPr>
                <w:rFonts w:hint="default" w:ascii="Times New Roman" w:hAnsi="Times New Roman" w:cs="Times New Roman" w:eastAsiaTheme="minorEastAsia"/>
                <w:kern w:val="2"/>
                <w:sz w:val="24"/>
                <w:szCs w:val="24"/>
                <w:lang w:val="en-US" w:eastAsia="zh-CN" w:bidi="ar-SA"/>
              </w:rPr>
              <w:t>批件</w:t>
            </w:r>
          </w:p>
        </w:tc>
        <w:tc>
          <w:tcPr>
            <w:tcW w:w="840" w:type="dxa"/>
            <w:vAlign w:val="center"/>
          </w:tcPr>
          <w:p w14:paraId="5761E1FE">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3A87517A">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650" w:type="dxa"/>
            <w:vAlign w:val="center"/>
          </w:tcPr>
          <w:p w14:paraId="40958B3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243" w:type="dxa"/>
            <w:vAlign w:val="center"/>
          </w:tcPr>
          <w:p w14:paraId="451556A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r>
      <w:tr w14:paraId="1D64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vAlign w:val="center"/>
          </w:tcPr>
          <w:p w14:paraId="31AF37AA">
            <w:pPr>
              <w:pStyle w:val="8"/>
              <w:spacing w:line="400" w:lineRule="exact"/>
              <w:ind w:firstLine="560"/>
              <w:jc w:val="center"/>
              <w:rPr>
                <w:rFonts w:hint="default" w:ascii="Times New Roman" w:hAnsi="Times New Roman" w:cs="Times New Roman" w:eastAsiaTheme="minorEastAsia"/>
                <w:kern w:val="2"/>
                <w:sz w:val="24"/>
                <w:szCs w:val="24"/>
                <w:lang w:val="en-US" w:eastAsia="zh-CN" w:bidi="ar-SA"/>
              </w:rPr>
            </w:pPr>
          </w:p>
        </w:tc>
        <w:tc>
          <w:tcPr>
            <w:tcW w:w="2251" w:type="dxa"/>
            <w:vAlign w:val="center"/>
          </w:tcPr>
          <w:p w14:paraId="2D09BAA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中药新药证书</w:t>
            </w:r>
          </w:p>
        </w:tc>
        <w:tc>
          <w:tcPr>
            <w:tcW w:w="840" w:type="dxa"/>
            <w:vAlign w:val="center"/>
          </w:tcPr>
          <w:p w14:paraId="22F34960">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个</w:t>
            </w:r>
          </w:p>
        </w:tc>
        <w:tc>
          <w:tcPr>
            <w:tcW w:w="1310" w:type="dxa"/>
            <w:vAlign w:val="center"/>
          </w:tcPr>
          <w:p w14:paraId="51D59D92">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650" w:type="dxa"/>
            <w:vAlign w:val="center"/>
          </w:tcPr>
          <w:p w14:paraId="79CB635F">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0</w:t>
            </w:r>
          </w:p>
        </w:tc>
        <w:tc>
          <w:tcPr>
            <w:tcW w:w="1243" w:type="dxa"/>
            <w:vAlign w:val="center"/>
          </w:tcPr>
          <w:p w14:paraId="4E07FF0A">
            <w:pPr>
              <w:spacing w:line="40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w:t>
            </w:r>
          </w:p>
        </w:tc>
      </w:tr>
    </w:tbl>
    <w:p w14:paraId="15B40D57">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41" w:name="_Toc30344"/>
      <w:r>
        <w:rPr>
          <w:rFonts w:hint="default" w:ascii="Times New Roman" w:hAnsi="Times New Roman" w:eastAsia="楷体" w:cs="Times New Roman"/>
          <w:b w:val="0"/>
          <w:bCs w:val="0"/>
          <w:kern w:val="0"/>
          <w:sz w:val="32"/>
          <w:szCs w:val="32"/>
          <w:lang w:val="en-US" w:eastAsia="zh-CN"/>
        </w:rPr>
        <w:t>（五）空间布局</w:t>
      </w:r>
      <w:bookmarkEnd w:id="41"/>
    </w:p>
    <w:p w14:paraId="2C41DA0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打造“八品双优多节点”总体布局，构建“一条主线”辐射三大领域的中医药大健康产业空间体系。</w:t>
      </w:r>
    </w:p>
    <w:p w14:paraId="44AC861B">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1.八品：</w:t>
      </w:r>
      <w:r>
        <w:rPr>
          <w:rFonts w:hint="eastAsia" w:ascii="仿宋" w:hAnsi="仿宋" w:eastAsia="仿宋" w:cs="仿宋"/>
          <w:kern w:val="2"/>
          <w:sz w:val="32"/>
          <w:szCs w:val="32"/>
          <w:lang w:val="en-US" w:eastAsia="zh-CN" w:bidi="ar-SA"/>
        </w:rPr>
        <w:t>以明溪县现有种植且具有一定产量的品种为基础，主要包括灵芝、淮山、铁皮石斛、金线莲、草珊瑚、茯苓、多花黄精、红豆杉等，通过科研育种稳步提升八个品种产量，筑牢筑稳中医药大健康产业发展根基。</w:t>
      </w:r>
    </w:p>
    <w:p w14:paraId="41C99A14">
      <w:pPr>
        <w:widowControl/>
        <w:spacing w:line="560" w:lineRule="exact"/>
        <w:ind w:firstLine="640" w:firstLineChars="200"/>
        <w:jc w:val="left"/>
        <w:rPr>
          <w:rFonts w:hint="eastAsia" w:ascii="仿宋" w:hAnsi="仿宋" w:eastAsia="仿宋" w:cs="仿宋"/>
          <w:kern w:val="2"/>
          <w:sz w:val="32"/>
          <w:szCs w:val="32"/>
          <w:lang w:val="en-US" w:eastAsia="zh-CN" w:bidi="ar-SA"/>
        </w:rPr>
      </w:pPr>
      <w:bookmarkStart w:id="42" w:name="_Toc20547"/>
      <w:r>
        <w:rPr>
          <w:rFonts w:hint="eastAsia" w:ascii="仿宋" w:hAnsi="仿宋" w:eastAsia="仿宋" w:cs="仿宋"/>
          <w:b w:val="0"/>
          <w:bCs w:val="0"/>
          <w:kern w:val="2"/>
          <w:sz w:val="32"/>
          <w:szCs w:val="32"/>
          <w:lang w:val="en-US" w:eastAsia="zh-CN" w:bidi="ar-SA"/>
        </w:rPr>
        <w:t>2.双优：</w:t>
      </w:r>
      <w:r>
        <w:rPr>
          <w:rFonts w:hint="eastAsia" w:ascii="仿宋" w:hAnsi="仿宋" w:eastAsia="仿宋" w:cs="仿宋"/>
          <w:kern w:val="2"/>
          <w:sz w:val="32"/>
          <w:szCs w:val="32"/>
          <w:lang w:val="en-US" w:eastAsia="zh-CN" w:bidi="ar-SA"/>
        </w:rPr>
        <w:t>充分发挥明溪县八品的资源优势，以易推广，种植难度低，属于药食两用资源，产业链较为成熟，市场潜力大，栽培技术成熟，产品众多，行业产值高，受众较广且属于福九味药材。积极与北京同仁堂合作发展两大优势品种。围绕两大优势品种推进规范化种植，打造集优势品种中药材种植、生产加工、药食同源产品于一体的品牌。</w:t>
      </w:r>
      <w:bookmarkEnd w:id="42"/>
    </w:p>
    <w:p w14:paraId="0DA2CBAA">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3.多节点：</w:t>
      </w:r>
    </w:p>
    <w:p w14:paraId="5E0D9B6D">
      <w:pPr>
        <w:widowControl/>
        <w:spacing w:line="560" w:lineRule="exact"/>
        <w:ind w:firstLine="640" w:firstLineChars="200"/>
        <w:jc w:val="left"/>
        <w:rPr>
          <w:rFonts w:hint="eastAsia" w:ascii="仿宋" w:hAnsi="仿宋" w:eastAsia="仿宋" w:cs="仿宋"/>
          <w:kern w:val="2"/>
          <w:sz w:val="32"/>
          <w:szCs w:val="32"/>
          <w:lang w:val="en-US" w:eastAsia="zh-CN" w:bidi="ar-SA"/>
        </w:rPr>
      </w:pPr>
      <w:bookmarkStart w:id="43" w:name="_Toc27967"/>
      <w:r>
        <w:rPr>
          <w:rFonts w:hint="eastAsia" w:ascii="仿宋" w:hAnsi="仿宋" w:eastAsia="仿宋" w:cs="仿宋"/>
          <w:b w:val="0"/>
          <w:bCs w:val="0"/>
          <w:kern w:val="2"/>
          <w:sz w:val="32"/>
          <w:szCs w:val="32"/>
          <w:lang w:val="en-US" w:eastAsia="zh-CN" w:bidi="ar-SA"/>
        </w:rPr>
        <w:t>——中药材种植基地。</w:t>
      </w:r>
      <w:r>
        <w:rPr>
          <w:rFonts w:hint="eastAsia" w:ascii="仿宋" w:hAnsi="仿宋" w:eastAsia="仿宋" w:cs="仿宋"/>
          <w:kern w:val="2"/>
          <w:sz w:val="32"/>
          <w:szCs w:val="32"/>
          <w:lang w:val="en-US" w:eastAsia="zh-CN" w:bidi="ar-SA"/>
        </w:rPr>
        <w:t>发挥明溪道地闽产药材、药食同源药材优势，以优势道地闽产中药材种植为龙头，建设中药材标准化、规模化、产业化种植基地。</w:t>
      </w:r>
      <w:bookmarkEnd w:id="43"/>
    </w:p>
    <w:p w14:paraId="7357650A">
      <w:pPr>
        <w:widowControl/>
        <w:spacing w:line="560" w:lineRule="exact"/>
        <w:ind w:firstLine="640" w:firstLineChars="200"/>
        <w:jc w:val="left"/>
        <w:rPr>
          <w:rFonts w:hint="eastAsia" w:ascii="仿宋" w:hAnsi="仿宋" w:eastAsia="仿宋" w:cs="仿宋"/>
          <w:kern w:val="2"/>
          <w:sz w:val="32"/>
          <w:szCs w:val="32"/>
          <w:lang w:val="en-US" w:eastAsia="zh-CN" w:bidi="ar-SA"/>
        </w:rPr>
      </w:pPr>
      <w:bookmarkStart w:id="44" w:name="_Toc22447"/>
      <w:r>
        <w:rPr>
          <w:rFonts w:hint="eastAsia" w:ascii="仿宋" w:hAnsi="仿宋" w:eastAsia="仿宋" w:cs="仿宋"/>
          <w:b w:val="0"/>
          <w:bCs w:val="0"/>
          <w:kern w:val="2"/>
          <w:sz w:val="32"/>
          <w:szCs w:val="32"/>
          <w:lang w:val="en-US" w:eastAsia="zh-CN" w:bidi="ar-SA"/>
        </w:rPr>
        <w:t>——中医药特色小街。</w:t>
      </w:r>
      <w:r>
        <w:rPr>
          <w:rFonts w:hint="eastAsia" w:ascii="仿宋" w:hAnsi="仿宋" w:eastAsia="仿宋" w:cs="仿宋"/>
          <w:kern w:val="2"/>
          <w:sz w:val="32"/>
          <w:szCs w:val="32"/>
          <w:lang w:val="en-US" w:eastAsia="zh-CN" w:bidi="ar-SA"/>
        </w:rPr>
        <w:t>围绕优势品种的中药材，开发精深加工产品，打造集中医食疗养生、保健运动、森林康养、观鸟休闲度假一体的“长寿秘境”特色小街建设。</w:t>
      </w:r>
      <w:bookmarkEnd w:id="44"/>
    </w:p>
    <w:p w14:paraId="7C02BE8C">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——养生酒店。</w:t>
      </w:r>
      <w:r>
        <w:rPr>
          <w:rFonts w:hint="eastAsia" w:ascii="仿宋" w:hAnsi="仿宋" w:eastAsia="仿宋" w:cs="仿宋"/>
          <w:kern w:val="2"/>
          <w:sz w:val="32"/>
          <w:szCs w:val="32"/>
          <w:lang w:val="en-US" w:eastAsia="zh-CN" w:bidi="ar-SA"/>
        </w:rPr>
        <w:t>以休闲度假为目的，整合明溪自然旅游资源，积极拓展中医药的养生保健服务，打造一个集餐饮、住宿、食疗、品茶、温泉养生、足疗、药浴等功能为一体的养生酒店。</w:t>
      </w:r>
    </w:p>
    <w:p w14:paraId="187F7686">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4.一条主线：</w:t>
      </w:r>
      <w:r>
        <w:rPr>
          <w:rFonts w:hint="eastAsia" w:ascii="仿宋" w:hAnsi="仿宋" w:eastAsia="仿宋" w:cs="仿宋"/>
          <w:kern w:val="2"/>
          <w:sz w:val="32"/>
          <w:szCs w:val="32"/>
          <w:lang w:val="en-US" w:eastAsia="zh-CN" w:bidi="ar-SA"/>
        </w:rPr>
        <w:t>以中药材全产业链发展为主线，包括道地闽产中药材种植、加工生产、流通销售等。通过建设道地闽产中药材规范化、规模化种植示范基地，建设三园合一（中药材加工园、开发生产园、综合利用园）的中医药健康产业园区，建设中药材交易中心和仓储基地，打造中药材全产业链。借助中药材全产业链中的内容（如中药材种植观赏采摘区、中药材的药用保健美容营养等衍生产品、生产流通过程中的客户等），辐射到中医药的三大领域，共同推动社会经济发展。</w:t>
      </w:r>
    </w:p>
    <w:p w14:paraId="40919722">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5.三大领域：</w:t>
      </w:r>
      <w:r>
        <w:rPr>
          <w:rFonts w:hint="eastAsia" w:ascii="仿宋" w:hAnsi="仿宋" w:eastAsia="仿宋" w:cs="仿宋"/>
          <w:kern w:val="2"/>
          <w:sz w:val="32"/>
          <w:szCs w:val="32"/>
          <w:lang w:val="en-US" w:eastAsia="zh-CN" w:bidi="ar-SA"/>
        </w:rPr>
        <w:t>中医药健康服务中的医疗保健、康复养老、文化旅游等三大领域，形成合力，同步发展。</w:t>
      </w:r>
    </w:p>
    <w:p w14:paraId="7D3E7F7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——医疗保健领域：</w:t>
      </w:r>
      <w:r>
        <w:rPr>
          <w:rFonts w:hint="eastAsia" w:ascii="仿宋" w:hAnsi="仿宋" w:eastAsia="仿宋" w:cs="仿宋"/>
          <w:kern w:val="2"/>
          <w:sz w:val="32"/>
          <w:szCs w:val="32"/>
          <w:lang w:val="en-US" w:eastAsia="zh-CN" w:bidi="ar-SA"/>
        </w:rPr>
        <w:t>充分利用道地闽产中药材的优势，将高品质、高质量的中药材应用于中医临床，形成“好医用好药”的良性循环，切实提升中医临床疗效，同时完善中医医疗服务网络，发展社会办中医力量，为百姓造福。通过道地闽产中药材的衍生产品（保健食品、保健饮品、保健茶、美容养颜用品等），结合中医养生保健理念和中医保健技术，为广大群众和游客提供中医药养生保健服务。</w:t>
      </w:r>
    </w:p>
    <w:p w14:paraId="5CF1B813">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——康复养老领域：</w:t>
      </w:r>
      <w:r>
        <w:rPr>
          <w:rFonts w:hint="eastAsia" w:ascii="仿宋" w:hAnsi="仿宋" w:eastAsia="仿宋" w:cs="仿宋"/>
          <w:kern w:val="2"/>
          <w:sz w:val="32"/>
          <w:szCs w:val="32"/>
          <w:lang w:val="en-US" w:eastAsia="zh-CN" w:bidi="ar-SA"/>
        </w:rPr>
        <w:t>利用武夷山余脉的天然生态资源和道地闽产中药材的优势，结合中医药的健康产品和服务积极探索发展康复养老领域，为老年人提供居家式、候鸟式、旅游式等多样化养老服务。</w:t>
      </w:r>
    </w:p>
    <w:p w14:paraId="29942531">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——文化旅游领域：</w:t>
      </w:r>
      <w:r>
        <w:rPr>
          <w:rFonts w:hint="eastAsia" w:ascii="仿宋" w:hAnsi="仿宋" w:eastAsia="仿宋" w:cs="仿宋"/>
          <w:kern w:val="2"/>
          <w:sz w:val="32"/>
          <w:szCs w:val="32"/>
          <w:lang w:val="en-US" w:eastAsia="zh-CN" w:bidi="ar-SA"/>
        </w:rPr>
        <w:t>利用自然生态资源、红色资源、道地闽产中药材优势及衍生产品，深度挖掘</w:t>
      </w:r>
      <w:r>
        <w:rPr>
          <w:rFonts w:hint="eastAsia" w:ascii="仿宋" w:hAnsi="仿宋" w:eastAsia="仿宋" w:cs="仿宋"/>
          <w:kern w:val="2"/>
          <w:sz w:val="32"/>
          <w:szCs w:val="32"/>
          <w:highlight w:val="none"/>
          <w:lang w:val="en-US" w:eastAsia="zh-CN" w:bidi="ar-SA"/>
        </w:rPr>
        <w:t>中医</w:t>
      </w:r>
      <w:r>
        <w:rPr>
          <w:rFonts w:hint="eastAsia" w:ascii="仿宋" w:hAnsi="仿宋" w:eastAsia="仿宋" w:cs="仿宋"/>
          <w:kern w:val="2"/>
          <w:sz w:val="32"/>
          <w:szCs w:val="32"/>
          <w:lang w:val="en-US" w:eastAsia="zh-CN" w:bidi="ar-SA"/>
        </w:rPr>
        <w:t>药文化资源，形成独具特色的红色中医药健康旅游，同时扩大宣传渠道和角度，努力发展文化旅游产业。</w:t>
      </w:r>
    </w:p>
    <w:p w14:paraId="4509CB46">
      <w:pPr>
        <w:pStyle w:val="7"/>
        <w:snapToGrid/>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r>
        <w:rPr>
          <w:rFonts w:hint="default" w:ascii="Times New Roman" w:hAnsi="Times New Roman" w:eastAsia="楷体" w:cs="Times New Roman"/>
          <w:b w:val="0"/>
          <w:bCs w:val="0"/>
          <w:kern w:val="0"/>
          <w:sz w:val="32"/>
          <w:szCs w:val="32"/>
          <w:lang w:val="en-US" w:eastAsia="zh-CN"/>
        </w:rPr>
        <w:t>（六）实施路径</w:t>
      </w:r>
    </w:p>
    <w:p w14:paraId="77A2A38E">
      <w:pPr>
        <w:numPr>
          <w:ilvl w:val="0"/>
          <w:numId w:val="0"/>
        </w:numPr>
        <w:spacing w:line="560" w:lineRule="exact"/>
        <w:ind w:firstLine="960" w:firstLineChars="300"/>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一是</w:t>
      </w:r>
      <w:r>
        <w:rPr>
          <w:rFonts w:hint="eastAsia" w:ascii="仿宋" w:hAnsi="仿宋" w:eastAsia="仿宋" w:cs="仿宋"/>
          <w:kern w:val="2"/>
          <w:sz w:val="32"/>
          <w:szCs w:val="32"/>
          <w:lang w:val="en-US" w:eastAsia="zh-CN" w:bidi="ar-SA"/>
        </w:rPr>
        <w:t>强化技术支撑。鼓励中医药企业加大技术研发投入，积极与福建中医药大学、中国中医科学院中医药健康产业研究所等高校、科研院所合作，提升企业科技创新能力，为产业转化提供技术支撑。</w:t>
      </w:r>
      <w:r>
        <w:rPr>
          <w:rFonts w:hint="eastAsia" w:ascii="仿宋" w:hAnsi="仿宋" w:eastAsia="仿宋" w:cs="仿宋"/>
          <w:b w:val="0"/>
          <w:bCs w:val="0"/>
          <w:kern w:val="2"/>
          <w:sz w:val="32"/>
          <w:szCs w:val="32"/>
          <w:lang w:val="en-US" w:eastAsia="zh-CN" w:bidi="ar-SA"/>
        </w:rPr>
        <w:t>二是</w:t>
      </w:r>
      <w:r>
        <w:rPr>
          <w:rFonts w:hint="eastAsia" w:ascii="仿宋" w:hAnsi="仿宋" w:eastAsia="仿宋" w:cs="仿宋"/>
          <w:kern w:val="2"/>
          <w:sz w:val="32"/>
          <w:szCs w:val="32"/>
          <w:lang w:val="en-US" w:eastAsia="zh-CN" w:bidi="ar-SA"/>
        </w:rPr>
        <w:t>实施品牌战略。讲好红军战地医院、客家女神等中医药品牌故事，积极打造中药大品种品牌、中医药文化旅游品牌等工程。</w:t>
      </w:r>
      <w:r>
        <w:rPr>
          <w:rFonts w:hint="eastAsia" w:ascii="仿宋" w:hAnsi="仿宋" w:eastAsia="仿宋" w:cs="仿宋"/>
          <w:b w:val="0"/>
          <w:bCs w:val="0"/>
          <w:kern w:val="2"/>
          <w:sz w:val="32"/>
          <w:szCs w:val="32"/>
          <w:lang w:val="en-US" w:eastAsia="zh-CN" w:bidi="ar-SA"/>
        </w:rPr>
        <w:t>三是</w:t>
      </w:r>
      <w:r>
        <w:rPr>
          <w:rFonts w:hint="eastAsia" w:ascii="仿宋" w:hAnsi="仿宋" w:eastAsia="仿宋" w:cs="仿宋"/>
          <w:kern w:val="2"/>
          <w:sz w:val="32"/>
          <w:szCs w:val="32"/>
          <w:lang w:val="en-US" w:eastAsia="zh-CN" w:bidi="ar-SA"/>
        </w:rPr>
        <w:t>政策持续发力。围绕中医药全产业链出台一系列持续稳定的发展政策，释放发展潜能，激发县域产业新活力。</w:t>
      </w:r>
    </w:p>
    <w:p w14:paraId="2DD2CEFA">
      <w:pPr>
        <w:pStyle w:val="6"/>
        <w:spacing w:before="0" w:beforeLines="0" w:after="0" w:afterLines="0" w:line="560" w:lineRule="exact"/>
        <w:ind w:firstLine="640" w:firstLineChars="200"/>
        <w:outlineLvl w:val="0"/>
        <w:rPr>
          <w:rFonts w:hint="default" w:ascii="Times New Roman" w:hAnsi="Times New Roman" w:eastAsia="黑体" w:cs="Times New Roman"/>
          <w:b w:val="0"/>
          <w:bCs w:val="0"/>
          <w:sz w:val="32"/>
          <w:szCs w:val="32"/>
        </w:rPr>
      </w:pPr>
      <w:bookmarkStart w:id="45" w:name="_Toc21608"/>
      <w:bookmarkStart w:id="46" w:name="_Toc16211"/>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、重点任务</w:t>
      </w:r>
      <w:bookmarkEnd w:id="45"/>
      <w:bookmarkEnd w:id="46"/>
    </w:p>
    <w:p w14:paraId="3F0E94A9">
      <w:pPr>
        <w:pStyle w:val="7"/>
        <w:snapToGrid/>
        <w:spacing w:before="0" w:beforeLines="0" w:afterLines="0" w:line="560" w:lineRule="exact"/>
        <w:ind w:left="0" w:leftChars="0" w:firstLine="640" w:firstLineChars="200"/>
        <w:outlineLvl w:val="1"/>
        <w:rPr>
          <w:rFonts w:hint="default" w:ascii="Times New Roman" w:hAnsi="Times New Roman" w:eastAsia="楷体" w:cs="Times New Roman"/>
          <w:b w:val="0"/>
          <w:bCs w:val="0"/>
          <w:kern w:val="0"/>
          <w:sz w:val="32"/>
          <w:szCs w:val="32"/>
          <w:lang w:val="en-US"/>
        </w:rPr>
      </w:pPr>
      <w:bookmarkStart w:id="47" w:name="_Toc27024"/>
      <w:bookmarkStart w:id="48" w:name="_Toc25108"/>
      <w:r>
        <w:rPr>
          <w:rFonts w:hint="default" w:ascii="Times New Roman" w:hAnsi="Times New Roman" w:eastAsia="楷体" w:cs="Times New Roman"/>
          <w:b w:val="0"/>
          <w:bCs w:val="0"/>
          <w:kern w:val="0"/>
          <w:sz w:val="32"/>
          <w:szCs w:val="32"/>
          <w:lang w:val="en-US" w:eastAsia="zh-CN"/>
        </w:rPr>
        <w:t>（一）中药材种植</w:t>
      </w:r>
      <w:bookmarkEnd w:id="47"/>
      <w:bookmarkEnd w:id="48"/>
      <w:r>
        <w:rPr>
          <w:rFonts w:hint="default" w:ascii="Times New Roman" w:hAnsi="Times New Roman" w:eastAsia="楷体" w:cs="Times New Roman"/>
          <w:b w:val="0"/>
          <w:bCs w:val="0"/>
          <w:kern w:val="0"/>
          <w:sz w:val="32"/>
          <w:szCs w:val="32"/>
          <w:lang w:val="en-US" w:eastAsia="zh-CN"/>
        </w:rPr>
        <w:t xml:space="preserve">扩面增效 </w:t>
      </w:r>
    </w:p>
    <w:p w14:paraId="35A82317">
      <w:pPr>
        <w:widowControl/>
        <w:spacing w:beforeLines="0" w:afterLines="0"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1.规范化规模化种植：</w:t>
      </w:r>
      <w:r>
        <w:rPr>
          <w:rFonts w:hint="eastAsia" w:ascii="仿宋" w:hAnsi="仿宋" w:eastAsia="仿宋" w:cs="仿宋"/>
          <w:kern w:val="2"/>
          <w:sz w:val="32"/>
          <w:szCs w:val="32"/>
          <w:lang w:val="en-US" w:eastAsia="zh-CN" w:bidi="ar-SA"/>
        </w:rPr>
        <w:t>融合明溪县种植、畜牧业特色，明确种植业品种及发展规模，在雪峰镇、城关乡、胡坊镇、盖洋镇、枫溪乡、夏阳乡等乡镇打造一批种植规模化、设施现代化、生产标准化的道地闽产中药材种植示范基地，提升灵芝和铁皮石斛中药材品牌以及淮山农产品品牌。创建1个道地闽产中药材全程可追溯规范化生产示范基地。</w:t>
      </w:r>
    </w:p>
    <w:p w14:paraId="7A833528">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2.创新种植模式：</w:t>
      </w:r>
      <w:r>
        <w:rPr>
          <w:rFonts w:hint="eastAsia" w:ascii="仿宋" w:hAnsi="仿宋" w:eastAsia="仿宋" w:cs="仿宋"/>
          <w:kern w:val="2"/>
          <w:sz w:val="32"/>
          <w:szCs w:val="32"/>
          <w:lang w:val="en-US" w:eastAsia="zh-CN" w:bidi="ar-SA"/>
        </w:rPr>
        <w:t>完善订单带动、利润返还、股份合作等“中药企业+专业合作社+农户”的合作种植模式，企业提供优质种子种苗和配套技术指导，并以订单形式回购中药材；合作社、农户依据企业订单和技术要求规范种植中药材。企业—合作社—农户形成利益联结机制，提升综合生产率。推动医药企业设立“定制药园”作为原料药材供应基地，支持县域或市域公立医疗机构优先采购以“定制药园”中药材为主要原料的药品（含中药饮片）。</w:t>
      </w:r>
    </w:p>
    <w:p w14:paraId="5872E43C">
      <w:pPr>
        <w:widowControl/>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3.加强中药材良种繁育：</w:t>
      </w:r>
      <w:r>
        <w:rPr>
          <w:rFonts w:hint="eastAsia" w:ascii="仿宋" w:hAnsi="仿宋" w:eastAsia="仿宋" w:cs="仿宋"/>
          <w:kern w:val="2"/>
          <w:sz w:val="32"/>
          <w:szCs w:val="32"/>
          <w:lang w:val="en-US" w:eastAsia="zh-CN" w:bidi="ar-SA"/>
        </w:rPr>
        <w:t>引导科研单位与中药企业联合攻关，推进特色品种提纯复壮，选育道地性强、药效明显、质量稳定的中药材的新品种。加强草珊瑚等中药材良种繁育技术推广，建设标准高、规模大、质量优的草珊瑚中药材良种繁育基地，培育质量稳定、供应充足的中药材种子种苗，提高药材供种供苗能力，从源头保证中药材的种植和生产。</w:t>
      </w:r>
    </w:p>
    <w:tbl>
      <w:tblPr>
        <w:tblStyle w:val="2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7FF7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522" w:type="dxa"/>
          </w:tcPr>
          <w:p w14:paraId="212EBFE4">
            <w:pPr>
              <w:keepNext w:val="0"/>
              <w:keepLines w:val="0"/>
              <w:pageBreakBefore w:val="0"/>
              <w:widowControl/>
              <w:kinsoku/>
              <w:wordWrap/>
              <w:overflowPunct/>
              <w:topLinePunct w:val="0"/>
              <w:bidi w:val="0"/>
              <w:adjustRightInd/>
              <w:snapToGrid/>
              <w:spacing w:line="240" w:lineRule="auto"/>
              <w:ind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val="0"/>
                <w:bCs/>
                <w:sz w:val="32"/>
                <w:szCs w:val="32"/>
              </w:rPr>
              <w:t>专栏1中药材规范化种植建设项目</w:t>
            </w:r>
          </w:p>
        </w:tc>
      </w:tr>
      <w:tr w14:paraId="4F1BC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1" w:hRule="atLeast"/>
          <w:jc w:val="center"/>
        </w:trPr>
        <w:tc>
          <w:tcPr>
            <w:tcW w:w="8522" w:type="dxa"/>
          </w:tcPr>
          <w:p w14:paraId="64447102">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1.道地闽产中药材全程可追溯规范化生产示范基地</w:t>
            </w:r>
          </w:p>
          <w:p w14:paraId="0FA29B56">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雪峰镇、城关乡、胡坊镇、盖洋镇、枫溪乡、夏阳乡等乡镇，打造以灵芝和淮山药等特色的道地闽产中药材种植示范基地，其中3个千亩灵芝中药材种植示范基地，1个百亩淮山药中药材种植示范基地。建立1个道地闽产中药材全程可追溯规范化生产示范基地，实现中药材生产、加工、运输、经营者等各环节信息可追溯、可查，确保道地闽产中药材的质量安全、可靠。</w:t>
            </w:r>
          </w:p>
          <w:p w14:paraId="300E26CD">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2.中药现代化工程技术研究中心建设</w:t>
            </w:r>
          </w:p>
          <w:p w14:paraId="4F9C97D2">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联合中国中医科学院、中国医学科学院药用植物研究所、中国中药协会、福建中医药大学、省农科院等科研、社会组织单位，整合三明市农科院等科研机构资源，建立中药现代化工程技术研究中心，主要从事：建设中药材种植种源基地；对中药材种植经营主体进行技术培训，对品种繁育、病虫害防治等现场指导；承担企业创新中药及核心品种产品力提升的基础性研究和工程化技术研究等工作。 </w:t>
            </w:r>
          </w:p>
          <w:p w14:paraId="54EE0939">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cs="Times New Roman"/>
                <w:sz w:val="32"/>
                <w:szCs w:val="32"/>
                <w:lang w:val="en-US" w:eastAsia="zh-CN"/>
              </w:rPr>
            </w:pPr>
            <w:r>
              <w:rPr>
                <w:rFonts w:hint="eastAsia" w:ascii="仿宋" w:hAnsi="仿宋" w:eastAsia="仿宋" w:cs="仿宋"/>
                <w:b w:val="0"/>
                <w:bCs w:val="0"/>
                <w:kern w:val="2"/>
                <w:sz w:val="32"/>
                <w:szCs w:val="32"/>
                <w:lang w:val="en-US" w:eastAsia="zh-CN" w:bidi="ar-SA"/>
              </w:rPr>
              <w:t xml:space="preserve">3.草珊瑚中药材良种繁育基地建设  </w:t>
            </w:r>
            <w:r>
              <w:rPr>
                <w:rFonts w:hint="eastAsia" w:ascii="仿宋" w:hAnsi="仿宋" w:eastAsia="仿宋" w:cs="仿宋"/>
                <w:kern w:val="2"/>
                <w:sz w:val="32"/>
                <w:szCs w:val="32"/>
                <w:lang w:val="en-US" w:eastAsia="zh-CN" w:bidi="ar-SA"/>
              </w:rPr>
              <w:t xml:space="preserve">   </w:t>
            </w:r>
            <w:r>
              <w:rPr>
                <w:rFonts w:hint="eastAsia" w:ascii="仿宋" w:hAnsi="仿宋" w:eastAsia="仿宋" w:cs="仿宋"/>
                <w:sz w:val="32"/>
                <w:szCs w:val="32"/>
                <w:lang w:val="en-US" w:eastAsia="zh-CN"/>
              </w:rPr>
              <w:t xml:space="preserve">      </w:t>
            </w:r>
            <w:r>
              <w:rPr>
                <w:rFonts w:hint="default" w:ascii="Times New Roman" w:hAnsi="Times New Roman" w:cs="Times New Roman"/>
                <w:sz w:val="32"/>
                <w:szCs w:val="32"/>
                <w:lang w:val="en-US" w:eastAsia="zh-CN"/>
              </w:rPr>
              <w:t xml:space="preserve">                   </w:t>
            </w:r>
          </w:p>
          <w:p w14:paraId="085F4526">
            <w:pPr>
              <w:pStyle w:val="2"/>
              <w:keepNext w:val="0"/>
              <w:keepLines w:val="0"/>
              <w:pageBreakBefore w:val="0"/>
              <w:kinsoku/>
              <w:wordWrap/>
              <w:overflowPunct/>
              <w:topLinePunct w:val="0"/>
              <w:bidi w:val="0"/>
              <w:adjustRightInd/>
              <w:snapToGrid/>
              <w:spacing w:line="560" w:lineRule="exact"/>
              <w:textAlignment w:val="auto"/>
              <w:rPr>
                <w:rFonts w:hint="default" w:ascii="Times New Roman" w:hAnsi="Times New Roman" w:cs="Times New Roman"/>
                <w:sz w:val="32"/>
                <w:szCs w:val="32"/>
                <w:lang w:val="en-US"/>
              </w:rPr>
            </w:pPr>
            <w:r>
              <w:rPr>
                <w:rFonts w:hint="eastAsia" w:ascii="仿宋" w:hAnsi="仿宋" w:eastAsia="仿宋" w:cs="仿宋"/>
                <w:kern w:val="2"/>
                <w:sz w:val="32"/>
                <w:szCs w:val="32"/>
                <w:lang w:val="en-US" w:eastAsia="zh-CN" w:bidi="ar-SA"/>
              </w:rPr>
              <w:t>联合福建省药材有限责任公司、厦门中药厂有限公司、福建中医药大学等单位建立草珊瑚良种培育和规范化种植基地。组织举办草珊瑚良种技术培训、技术探讨、示范等活动，推广草珊瑚良种技术繁殖和产品，提高草珊瑚的中药材产量及质量。</w:t>
            </w:r>
          </w:p>
        </w:tc>
      </w:tr>
    </w:tbl>
    <w:p w14:paraId="14A2FFBC">
      <w:pPr>
        <w:pStyle w:val="7"/>
        <w:spacing w:before="0" w:beforeLines="0" w:afterLines="0" w:line="560" w:lineRule="exact"/>
        <w:ind w:left="0" w:leftChars="0" w:firstLine="640" w:firstLineChars="200"/>
        <w:outlineLvl w:val="1"/>
        <w:rPr>
          <w:rFonts w:hint="default" w:ascii="Times New Roman" w:hAnsi="Times New Roman" w:eastAsia="楷体" w:cs="Times New Roman"/>
          <w:b w:val="0"/>
          <w:bCs w:val="0"/>
          <w:kern w:val="0"/>
          <w:sz w:val="32"/>
          <w:szCs w:val="32"/>
          <w:lang w:val="en-US" w:eastAsia="zh-CN"/>
        </w:rPr>
      </w:pPr>
      <w:bookmarkStart w:id="49" w:name="_Toc2506"/>
      <w:bookmarkStart w:id="50" w:name="_Toc481"/>
      <w:r>
        <w:rPr>
          <w:rFonts w:hint="default" w:ascii="Times New Roman" w:hAnsi="Times New Roman" w:eastAsia="楷体" w:cs="Times New Roman"/>
          <w:b w:val="0"/>
          <w:bCs w:val="0"/>
          <w:kern w:val="0"/>
          <w:sz w:val="32"/>
          <w:szCs w:val="32"/>
          <w:lang w:val="en-US" w:eastAsia="zh-CN"/>
        </w:rPr>
        <w:t>（二）中药材加工体系</w:t>
      </w:r>
      <w:bookmarkEnd w:id="49"/>
      <w:bookmarkEnd w:id="50"/>
      <w:r>
        <w:rPr>
          <w:rFonts w:hint="default" w:ascii="Times New Roman" w:hAnsi="Times New Roman" w:eastAsia="楷体" w:cs="Times New Roman"/>
          <w:b w:val="0"/>
          <w:bCs w:val="0"/>
          <w:kern w:val="0"/>
          <w:sz w:val="32"/>
          <w:szCs w:val="32"/>
          <w:lang w:val="en-US" w:eastAsia="zh-CN"/>
        </w:rPr>
        <w:t>健全完善</w:t>
      </w:r>
    </w:p>
    <w:p w14:paraId="05401B0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1.完善产地初加工规模和技术：</w:t>
      </w:r>
      <w:r>
        <w:rPr>
          <w:rFonts w:hint="eastAsia" w:ascii="仿宋" w:hAnsi="仿宋" w:eastAsia="仿宋" w:cs="仿宋"/>
          <w:kern w:val="2"/>
          <w:sz w:val="32"/>
          <w:szCs w:val="32"/>
          <w:lang w:val="en-US" w:eastAsia="zh-CN" w:bidi="ar-SA"/>
        </w:rPr>
        <w:t>以中医药种植业为依托，积极引进中药材粗加工及精细加工等企业，建设中药材现代化加工基地。鼓励中药企业建设初加工基地，配套现代化加工装备，推广应用新技术，加强综合利用，实现清洁化、连续化、自动化、标准化初加工，减少药效损失，提高产品档次。</w:t>
      </w:r>
    </w:p>
    <w:p w14:paraId="4817296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2.促进中药材精深开发：</w:t>
      </w:r>
      <w:r>
        <w:rPr>
          <w:rFonts w:hint="eastAsia" w:ascii="仿宋" w:hAnsi="仿宋" w:eastAsia="仿宋" w:cs="仿宋"/>
          <w:kern w:val="2"/>
          <w:sz w:val="32"/>
          <w:szCs w:val="32"/>
          <w:lang w:val="en-US" w:eastAsia="zh-CN" w:bidi="ar-SA"/>
        </w:rPr>
        <w:t>引进资金或与国内外知名药品生产企业合作，共同建设包括饮片、精品饮片、小包装饮片、配方颗粒、中药制药、中药提取物等在内的精深加工产品的生产车间，促进中药材的开发和生产，增强中药材产业的综合实力和竞争力。</w:t>
      </w:r>
    </w:p>
    <w:p w14:paraId="74A4C438">
      <w:pPr>
        <w:widowControl/>
        <w:spacing w:line="560" w:lineRule="exact"/>
        <w:ind w:firstLine="320" w:firstLineChars="1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3.培育药食同源龙头企业：培育或引进2-3家高端药食同源加工龙头企业。加大招商引资力度，在政策上给予支持或者倾斜，吸引北京同仁堂、江中制药等国际国内优秀保健食品生产企业和研发团队落户明溪，支持企业开展药膳同源研究，建立药食同源产业研究院，围绕双优种植品种，实施药膳食疗技术推广项目，开发地方特色药膳，不断开发具有自主知识产权的药膳同源新产品。</w:t>
      </w:r>
    </w:p>
    <w:p w14:paraId="3B88AC90">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4.推动中药产业集聚发展：</w:t>
      </w:r>
      <w:r>
        <w:rPr>
          <w:rFonts w:hint="eastAsia" w:ascii="仿宋" w:hAnsi="仿宋" w:eastAsia="仿宋" w:cs="仿宋"/>
          <w:kern w:val="2"/>
          <w:sz w:val="32"/>
          <w:szCs w:val="32"/>
          <w:lang w:val="en-US" w:eastAsia="zh-CN" w:bidi="ar-SA"/>
        </w:rPr>
        <w:t>通过引进与合作，扶持一批以中药饮片、中药提取、中药制药、药食同源保健食品等精深加工为主的中药龙头企业，鼓励中药龙头企业探索中药种植、加工、研发、应用等一体化、集约化发展模式，促进中药产业集聚发展。</w:t>
      </w:r>
    </w:p>
    <w:tbl>
      <w:tblPr>
        <w:tblStyle w:val="20"/>
        <w:tblW w:w="90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60"/>
      </w:tblGrid>
      <w:tr w14:paraId="38B4D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9060" w:type="dxa"/>
          </w:tcPr>
          <w:p w14:paraId="79463FB0">
            <w:pPr>
              <w:widowControl/>
              <w:adjustRightInd w:val="0"/>
              <w:snapToGrid w:val="0"/>
              <w:spacing w:line="560" w:lineRule="exact"/>
              <w:jc w:val="center"/>
              <w:rPr>
                <w:rFonts w:ascii="Times New Roman" w:hAnsi="Times New Roman" w:eastAsia="楷体" w:cs="Times New Roman"/>
                <w:b/>
                <w:sz w:val="32"/>
                <w:szCs w:val="32"/>
              </w:rPr>
            </w:pPr>
            <w:r>
              <w:rPr>
                <w:rFonts w:hint="default" w:ascii="Times New Roman" w:hAnsi="Times New Roman" w:eastAsia="楷体" w:cs="Times New Roman"/>
                <w:b w:val="0"/>
                <w:bCs/>
                <w:sz w:val="32"/>
                <w:szCs w:val="32"/>
              </w:rPr>
              <w:t>专栏2中</w:t>
            </w:r>
            <w:r>
              <w:rPr>
                <w:rFonts w:hint="default" w:ascii="Times New Roman" w:hAnsi="Times New Roman" w:eastAsia="楷体" w:cs="Times New Roman"/>
                <w:b w:val="0"/>
                <w:bCs/>
                <w:sz w:val="32"/>
                <w:szCs w:val="32"/>
                <w:lang w:val="en-US" w:eastAsia="zh-CN"/>
              </w:rPr>
              <w:t>医药</w:t>
            </w:r>
            <w:r>
              <w:rPr>
                <w:rFonts w:hint="default" w:ascii="Times New Roman" w:hAnsi="Times New Roman" w:eastAsia="楷体" w:cs="Times New Roman"/>
                <w:b w:val="0"/>
                <w:bCs/>
                <w:sz w:val="32"/>
                <w:szCs w:val="32"/>
              </w:rPr>
              <w:t>健康产业园建设项目</w:t>
            </w:r>
          </w:p>
        </w:tc>
      </w:tr>
      <w:tr w14:paraId="0F108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jc w:val="center"/>
        </w:trPr>
        <w:tc>
          <w:tcPr>
            <w:tcW w:w="9060" w:type="dxa"/>
          </w:tcPr>
          <w:p w14:paraId="23E9C0E8">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明溪县经济开发区建设三园合一（中药材加工园、开发生产园、综合利用园）的中医药健康产业园区，园区规划为原药材初加工、精制饮片加工、原料提取、药食同源保健品研发及生产、中成药研发生产等综合服务，实现周边50%以上中药材产地加工集中管理。</w:t>
            </w:r>
          </w:p>
          <w:p w14:paraId="0C31DA64">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1.中药材加工园：</w:t>
            </w:r>
            <w:r>
              <w:rPr>
                <w:rFonts w:hint="eastAsia" w:ascii="仿宋" w:hAnsi="仿宋" w:eastAsia="仿宋" w:cs="仿宋"/>
                <w:kern w:val="2"/>
                <w:sz w:val="32"/>
                <w:szCs w:val="32"/>
                <w:lang w:val="en-US" w:eastAsia="zh-CN" w:bidi="ar-SA"/>
              </w:rPr>
              <w:t>引进全国知名企业，加强采收、清洗、除杂、净选、切制、干燥、分级、保鲜、包装、贮藏等设施建设，配套现代化加工装备，实现清洁化、连续化、自动化、标准化初加工。重点推广应用低温冷冻干燥、节能干燥、无硫处理、气调贮藏等新技术。建立规范化的中药材切片加工单元，实现中药材切片加工领域统一标准、统一设备、统一场所，保证切片的质量稳定、可控，大幅降低中药材管理风险。</w:t>
            </w:r>
          </w:p>
          <w:p w14:paraId="74826EAD">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2.中药开发生产园：</w:t>
            </w:r>
            <w:r>
              <w:rPr>
                <w:rFonts w:hint="eastAsia" w:ascii="仿宋" w:hAnsi="仿宋" w:eastAsia="仿宋" w:cs="仿宋"/>
                <w:kern w:val="2"/>
                <w:sz w:val="32"/>
                <w:szCs w:val="32"/>
                <w:lang w:val="en-US" w:eastAsia="zh-CN" w:bidi="ar-SA"/>
              </w:rPr>
              <w:t>培育或引进</w:t>
            </w:r>
            <w:r>
              <w:rPr>
                <w:rFonts w:hint="eastAsia" w:ascii="仿宋" w:hAnsi="仿宋" w:eastAsia="仿宋" w:cs="仿宋"/>
                <w:b w:val="0"/>
                <w:bCs w:val="0"/>
                <w:kern w:val="2"/>
                <w:sz w:val="32"/>
                <w:szCs w:val="32"/>
                <w:lang w:val="en-US" w:eastAsia="zh-CN" w:bidi="ar-SA"/>
              </w:rPr>
              <w:t>2-3家药食同源加工与中药饮片企业</w:t>
            </w:r>
            <w:r>
              <w:rPr>
                <w:rFonts w:hint="eastAsia" w:ascii="仿宋" w:hAnsi="仿宋" w:eastAsia="仿宋" w:cs="仿宋"/>
                <w:kern w:val="2"/>
                <w:sz w:val="32"/>
                <w:szCs w:val="32"/>
                <w:lang w:val="en-US" w:eastAsia="zh-CN" w:bidi="ar-SA"/>
              </w:rPr>
              <w:t>，或与国内外知名企业合作，生产药膳同源产品、中药饮片、精品饮片、小包装饮片、配方颗粒、中药制药、中药提取物等在内的精深加工产品，创建名优品牌。</w:t>
            </w:r>
          </w:p>
          <w:p w14:paraId="20B07DC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 w:cs="Times New Roman"/>
                <w:sz w:val="32"/>
                <w:szCs w:val="32"/>
                <w:lang w:val="en-US"/>
              </w:rPr>
            </w:pPr>
            <w:r>
              <w:rPr>
                <w:rFonts w:hint="eastAsia" w:ascii="仿宋" w:hAnsi="仿宋" w:eastAsia="仿宋" w:cs="仿宋"/>
                <w:b w:val="0"/>
                <w:bCs w:val="0"/>
                <w:kern w:val="2"/>
                <w:sz w:val="32"/>
                <w:szCs w:val="32"/>
                <w:lang w:val="en-US" w:eastAsia="zh-CN" w:bidi="ar-SA"/>
              </w:rPr>
              <w:t>3.中药综合利用园：</w:t>
            </w:r>
            <w:r>
              <w:rPr>
                <w:rFonts w:hint="eastAsia" w:ascii="仿宋" w:hAnsi="仿宋" w:eastAsia="仿宋" w:cs="仿宋"/>
                <w:kern w:val="2"/>
                <w:sz w:val="32"/>
                <w:szCs w:val="32"/>
                <w:lang w:val="en-US" w:eastAsia="zh-CN" w:bidi="ar-SA"/>
              </w:rPr>
              <w:t>引进全国知名企业和研究机构，建设1个药材综合利用转化基地，对药材生产过程产生的非药用部位、不能达到含量测定的中药材、药材及饮片加工过程产生的下脚料等进行资源化利用，提取可利用成分，用于食品添加剂、化妆品、日用品等产品的原材料，延伸产业链，提高综合收益，增加中药材的利用效率，实现绿色发展。</w:t>
            </w:r>
          </w:p>
        </w:tc>
      </w:tr>
    </w:tbl>
    <w:p w14:paraId="6FC5E0E7">
      <w:pPr>
        <w:pStyle w:val="7"/>
        <w:spacing w:before="0" w:beforeLines="0" w:afterLines="0" w:line="560" w:lineRule="exact"/>
        <w:ind w:left="0" w:leftChars="0" w:firstLine="640" w:firstLineChars="200"/>
        <w:outlineLvl w:val="1"/>
        <w:rPr>
          <w:rFonts w:hint="default" w:ascii="Times New Roman" w:hAnsi="Times New Roman" w:eastAsia="楷体" w:cs="Times New Roman"/>
          <w:b w:val="0"/>
          <w:bCs w:val="0"/>
          <w:kern w:val="0"/>
          <w:sz w:val="32"/>
          <w:szCs w:val="32"/>
          <w:lang w:val="en-US" w:eastAsia="zh-CN"/>
        </w:rPr>
      </w:pPr>
      <w:bookmarkStart w:id="51" w:name="_Toc20347"/>
      <w:bookmarkStart w:id="52" w:name="_Toc17654"/>
      <w:r>
        <w:rPr>
          <w:rFonts w:hint="default" w:ascii="Times New Roman" w:hAnsi="Times New Roman" w:eastAsia="楷体" w:cs="Times New Roman"/>
          <w:b w:val="0"/>
          <w:bCs w:val="0"/>
          <w:kern w:val="0"/>
          <w:sz w:val="32"/>
          <w:szCs w:val="32"/>
          <w:lang w:val="en-US" w:eastAsia="zh-CN"/>
        </w:rPr>
        <w:t>（三）中医药全产业链培育发展</w:t>
      </w:r>
      <w:bookmarkEnd w:id="51"/>
      <w:bookmarkEnd w:id="52"/>
    </w:p>
    <w:p w14:paraId="05097C84">
      <w:pPr>
        <w:widowControl/>
        <w:spacing w:beforeLines="0" w:afterLines="0" w:line="560" w:lineRule="exact"/>
        <w:ind w:firstLine="640" w:firstLineChars="200"/>
        <w:jc w:val="left"/>
        <w:rPr>
          <w:rFonts w:hint="eastAsia" w:ascii="仿宋" w:hAnsi="仿宋" w:eastAsia="仿宋" w:cs="仿宋"/>
          <w:kern w:val="2"/>
          <w:sz w:val="32"/>
          <w:szCs w:val="32"/>
          <w:lang w:val="en-US" w:eastAsia="zh-CN" w:bidi="ar-SA"/>
        </w:rPr>
      </w:pPr>
      <w:bookmarkStart w:id="53" w:name="_Toc14031"/>
      <w:r>
        <w:rPr>
          <w:rFonts w:hint="eastAsia" w:ascii="仿宋" w:hAnsi="仿宋" w:eastAsia="仿宋" w:cs="仿宋"/>
          <w:b w:val="0"/>
          <w:bCs w:val="0"/>
          <w:kern w:val="2"/>
          <w:sz w:val="32"/>
          <w:szCs w:val="32"/>
          <w:lang w:val="en-US" w:eastAsia="zh-CN" w:bidi="ar-SA"/>
        </w:rPr>
        <w:t>1.扩大中药材保质仓储能力：</w:t>
      </w:r>
      <w:r>
        <w:rPr>
          <w:rFonts w:hint="eastAsia" w:ascii="仿宋" w:hAnsi="仿宋" w:eastAsia="仿宋" w:cs="仿宋"/>
          <w:kern w:val="2"/>
          <w:sz w:val="32"/>
          <w:szCs w:val="32"/>
          <w:lang w:val="en-US" w:eastAsia="zh-CN" w:bidi="ar-SA"/>
        </w:rPr>
        <w:t>引进中药材仓储企业，鼓励规模化发展中药材仓储，扩大静态仓储能力，为中药材初加工企业提供现代化、集约化、标准化的中药材仓储和物流配送服务。</w:t>
      </w:r>
      <w:bookmarkEnd w:id="53"/>
    </w:p>
    <w:p w14:paraId="51CDA15A">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2.建设中药材现代商贸体系：</w:t>
      </w:r>
      <w:r>
        <w:rPr>
          <w:rFonts w:hint="eastAsia" w:ascii="仿宋" w:hAnsi="仿宋" w:eastAsia="仿宋" w:cs="仿宋"/>
          <w:kern w:val="2"/>
          <w:sz w:val="32"/>
          <w:szCs w:val="32"/>
          <w:lang w:val="en-US" w:eastAsia="zh-CN" w:bidi="ar-SA"/>
        </w:rPr>
        <w:t>建设中药材交易中心，以“融合、共享、共荣”为经营理念，充分利用IOT、移动互联网、AI、云计算、大数据、区块链等信息技术手段，建立八大服务平台（种植服务、供销采购、税收政务、加工服务、仓储物流、质量追溯、金融服务、信息行情）、五大数据应用（标准化建设、信用数据、价格指数、供求信息、全链溯源）、二套网络系统（线上供应链系统、线下云物流网络）、一个新生态共建（药农+药企+药商+消费终端），形成集中药材的种植加工、仓储物流、质量检测、质量溯源、消费金融、产业金融于一体现代商业模式，联合所有合作伙伴，共建一个中药材现代供应链新生态，推动中药产业升级发展，使之成为福建省重要的中药材交易市场。</w:t>
      </w:r>
    </w:p>
    <w:p w14:paraId="2918727B">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3.构建海外营销网络和跨境产业链供应链：</w:t>
      </w:r>
      <w:r>
        <w:rPr>
          <w:rFonts w:hint="eastAsia" w:ascii="仿宋" w:hAnsi="仿宋" w:eastAsia="仿宋" w:cs="仿宋"/>
          <w:kern w:val="2"/>
          <w:sz w:val="32"/>
          <w:szCs w:val="32"/>
          <w:lang w:val="en-US" w:eastAsia="zh-CN" w:bidi="ar-SA"/>
        </w:rPr>
        <w:t>积极响应国家“一带一路”倡议，引导高端药食同源龙头企业与“一带一路”沿线国家开展合作，依托福建自贸试验区的建设机会，从财政、税收、人才等方面为企业提供支持，为跨境电商发展创造良好的环境，拓展跨境电商市场空间，加快构建高端药食同源产品海外营销网络和跨境产业链供应链。</w:t>
      </w:r>
    </w:p>
    <w:p w14:paraId="38815D91">
      <w:pPr>
        <w:spacing w:line="560" w:lineRule="exact"/>
        <w:rPr>
          <w:rFonts w:hint="default" w:ascii="Times New Roman" w:hAnsi="Times New Roman" w:cs="Times New Roman"/>
          <w:sz w:val="32"/>
          <w:szCs w:val="32"/>
          <w:lang w:val="en-US" w:eastAsia="zh-CN"/>
        </w:rPr>
      </w:pPr>
    </w:p>
    <w:tbl>
      <w:tblPr>
        <w:tblStyle w:val="20"/>
        <w:tblW w:w="88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34"/>
      </w:tblGrid>
      <w:tr w14:paraId="77BDDD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834" w:type="dxa"/>
          </w:tcPr>
          <w:p w14:paraId="4A26BAF6">
            <w:pPr>
              <w:widowControl/>
              <w:adjustRightInd w:val="0"/>
              <w:snapToGrid w:val="0"/>
              <w:spacing w:line="560" w:lineRule="exact"/>
              <w:jc w:val="center"/>
              <w:rPr>
                <w:rFonts w:ascii="Times New Roman" w:hAnsi="Times New Roman" w:eastAsia="楷体" w:cs="Times New Roman"/>
                <w:b/>
                <w:sz w:val="32"/>
                <w:szCs w:val="32"/>
              </w:rPr>
            </w:pPr>
            <w:r>
              <w:rPr>
                <w:rFonts w:hint="default" w:ascii="Times New Roman" w:hAnsi="Times New Roman" w:eastAsia="楷体" w:cs="Times New Roman"/>
                <w:b w:val="0"/>
                <w:bCs/>
                <w:sz w:val="32"/>
                <w:szCs w:val="32"/>
              </w:rPr>
              <w:t>专栏3中药材产业链建设项目</w:t>
            </w:r>
          </w:p>
        </w:tc>
      </w:tr>
      <w:tr w14:paraId="2C339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834" w:type="dxa"/>
          </w:tcPr>
          <w:p w14:paraId="7E5DF662">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1.中药材现代保质仓储基地建设</w:t>
            </w:r>
          </w:p>
          <w:p w14:paraId="13906EF7">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引进若干大型中药材仓储企业，扩大静态仓储能力，为中药材初加工企业提供现代化、集约化、标准化的中药材仓储和物流配送服务。具备低温冷冻干燥、节能干燥、无硫处理、气调贮藏等新技术，提升药材保鲜能力，最大程度保持药效。优化服务内容，包括定制库区条件、入库管理、堆码管理、在库管理、养护管理、出库管理、信息系统等全面的仓储和物流配送服务。简化服务流程，企业可以登录网页选择自己送货上门或者仓储直接取货，仓储服务按照仓储时间、仓储要求、仓储货架数、仓储重量等指标制定相应的收费细则，客户通过在线填写相关参数可以自动生成收费清单。实现中药材仓储和物流服务规模化发展。</w:t>
            </w:r>
          </w:p>
          <w:p w14:paraId="051D2D58">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2.中药材交易中心建设</w:t>
            </w:r>
          </w:p>
          <w:p w14:paraId="039BD435">
            <w:pPr>
              <w:widowControl/>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中医药健康产业园区建设“中药材交易中心”，整合三大平台（现货交易、价格指数、智慧物联）、三大工具（中药材检测认证中心、大数据中心、质量溯源系统中心），升级传统市场、创新平台市场，以推动中药材产业标准化、全链化、智慧化、国际化为目标，坚持立足现货、服务实体、做大贸易的现代供应链集成的服务定位，创新“互联网+中药产业+金融服务+现代物流”服务模式，专注服务中药材产业链各环节，构建集交易、交收、仓储、物流、检测、融资、质量追溯、信息发布服务于一体的中药产业现代供应链创新服务平台，推动中药材交易标准化、中药产业升级，提升产业协同发展效率，培植税收，增加社会就业。全面打造福建省重要的中药材原产地交易市场，成为优势品种交易价格窗口。</w:t>
            </w:r>
          </w:p>
          <w:p w14:paraId="292D579E">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3.海外营销网络和跨境产业链构建</w:t>
            </w:r>
          </w:p>
          <w:p w14:paraId="2BED81E8">
            <w:pPr>
              <w:widowControl/>
              <w:spacing w:line="560" w:lineRule="exact"/>
              <w:ind w:firstLine="640" w:firstLineChars="200"/>
              <w:jc w:val="left"/>
              <w:rPr>
                <w:rFonts w:hint="default" w:ascii="Times New Roman" w:hAnsi="Times New Roman" w:cs="Times New Roman"/>
                <w:sz w:val="32"/>
                <w:szCs w:val="32"/>
                <w:lang w:val="en-US"/>
              </w:rPr>
            </w:pPr>
            <w:r>
              <w:rPr>
                <w:rFonts w:hint="eastAsia" w:ascii="仿宋" w:hAnsi="仿宋" w:eastAsia="仿宋" w:cs="仿宋"/>
                <w:kern w:val="2"/>
                <w:sz w:val="32"/>
                <w:szCs w:val="32"/>
                <w:lang w:val="en-US" w:eastAsia="zh-CN" w:bidi="ar-SA"/>
              </w:rPr>
              <w:t>充分利用明溪客家侨乡优势，联合意大利中医药学会，加强海外中医药合作，开展高端药食同源产品意大利海外</w:t>
            </w:r>
            <w:r>
              <w:rPr>
                <w:rFonts w:hint="eastAsia" w:ascii="仿宋" w:hAnsi="仿宋" w:eastAsia="仿宋" w:cs="仿宋"/>
                <w:b w:val="0"/>
                <w:bCs w:val="0"/>
                <w:kern w:val="2"/>
                <w:sz w:val="32"/>
                <w:szCs w:val="32"/>
                <w:lang w:val="en-US" w:eastAsia="zh-CN" w:bidi="ar-SA"/>
              </w:rPr>
              <w:t>销售，拓展海外市场。依托欧起航电商直播基地项目，建立或引进跨境电商企业落户明溪，搭建明溪县海外销售网络。鼓励个人中医药产品出口跨境电商业务，打开企业新的发展空间，逐步构建包括平台、卖家、服务商等在内的海外营销网络和跨境电商全产业链发展体系。</w:t>
            </w:r>
          </w:p>
        </w:tc>
      </w:tr>
    </w:tbl>
    <w:p w14:paraId="44B9ECD3">
      <w:pPr>
        <w:pStyle w:val="7"/>
        <w:spacing w:before="0" w:beforeLines="0" w:afterLines="0" w:line="560" w:lineRule="exact"/>
        <w:ind w:left="0" w:leftChars="0" w:firstLine="640" w:firstLineChars="200"/>
        <w:outlineLvl w:val="1"/>
        <w:rPr>
          <w:rFonts w:hint="default" w:ascii="Times New Roman" w:hAnsi="Times New Roman" w:eastAsia="楷体" w:cs="Times New Roman"/>
          <w:b w:val="0"/>
          <w:bCs w:val="0"/>
          <w:kern w:val="0"/>
          <w:sz w:val="32"/>
          <w:szCs w:val="32"/>
          <w:lang w:val="en-US" w:eastAsia="zh-CN"/>
        </w:rPr>
      </w:pPr>
      <w:bookmarkStart w:id="54" w:name="_Toc20506"/>
      <w:bookmarkStart w:id="55" w:name="_Toc10978"/>
      <w:r>
        <w:rPr>
          <w:rFonts w:hint="default" w:ascii="Times New Roman" w:hAnsi="Times New Roman" w:eastAsia="楷体" w:cs="Times New Roman"/>
          <w:b w:val="0"/>
          <w:bCs w:val="0"/>
          <w:kern w:val="0"/>
          <w:sz w:val="32"/>
          <w:szCs w:val="32"/>
          <w:lang w:val="en-US" w:eastAsia="zh-CN"/>
        </w:rPr>
        <w:t>（四）中医医疗与养生保健服务能力</w:t>
      </w:r>
      <w:bookmarkEnd w:id="54"/>
      <w:bookmarkEnd w:id="55"/>
      <w:r>
        <w:rPr>
          <w:rFonts w:hint="default" w:ascii="Times New Roman" w:hAnsi="Times New Roman" w:eastAsia="楷体" w:cs="Times New Roman"/>
          <w:b w:val="0"/>
          <w:bCs w:val="0"/>
          <w:kern w:val="0"/>
          <w:sz w:val="32"/>
          <w:szCs w:val="32"/>
          <w:lang w:val="en-US" w:eastAsia="zh-CN"/>
        </w:rPr>
        <w:t>持续提升</w:t>
      </w:r>
    </w:p>
    <w:p w14:paraId="633251CD">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1.完善中医医疗服务网络：</w:t>
      </w:r>
      <w:r>
        <w:rPr>
          <w:rFonts w:hint="eastAsia" w:ascii="仿宋" w:hAnsi="仿宋" w:eastAsia="仿宋" w:cs="仿宋"/>
          <w:kern w:val="2"/>
          <w:sz w:val="32"/>
          <w:szCs w:val="32"/>
          <w:lang w:val="en-US" w:eastAsia="zh-CN" w:bidi="ar-SA"/>
        </w:rPr>
        <w:t>推动中国中医科学院附属医院与县中医院合作，指导明溪县建设远程会诊系统，进一步健全中医药服务网络，提升中医药服务能力。</w:t>
      </w:r>
    </w:p>
    <w:p w14:paraId="08C8B69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2.鼓励社会力量办中医：</w:t>
      </w:r>
      <w:r>
        <w:rPr>
          <w:rFonts w:hint="eastAsia" w:ascii="仿宋" w:hAnsi="仿宋" w:eastAsia="仿宋" w:cs="仿宋"/>
          <w:kern w:val="2"/>
          <w:sz w:val="32"/>
          <w:szCs w:val="32"/>
          <w:lang w:val="en-US" w:eastAsia="zh-CN" w:bidi="ar-SA"/>
        </w:rPr>
        <w:t>放开中医药市场，放宽社会力量举办医疗机构的准入范围，鼓励社会资本开办中医药医疗机构和医养结合机构，引导社会力量办医差异化发展，进一步简化审批环节。对社会办中医在医保纳入、职称评审、人才培养、土地政策等方面给予公立中医院同等待遇，为社会办中医创造公平、和谐的发展环境。</w:t>
      </w:r>
    </w:p>
    <w:p w14:paraId="36ABBF65">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3.发展中医养生保健机构：</w:t>
      </w:r>
      <w:r>
        <w:rPr>
          <w:rFonts w:hint="eastAsia" w:ascii="仿宋" w:hAnsi="仿宋" w:eastAsia="仿宋" w:cs="仿宋"/>
          <w:kern w:val="2"/>
          <w:sz w:val="32"/>
          <w:szCs w:val="32"/>
          <w:lang w:val="en-US" w:eastAsia="zh-CN" w:bidi="ar-SA"/>
        </w:rPr>
        <w:t>树立未病先防，既病防变，愈后康复的理念，促进社会非医疗性中医养生保健机构的发展，发展并规范开展包括中医健康状态辨识与评估、中医健康咨询指导、中医健康干预调理、中医健康教育等中医养生保健服务内容。为服务对象建立健康服务档案，开展中医健康干预调理效果的追踪与评估，逐步改善服务方案，优化服务流程，提高服务能力。</w:t>
      </w:r>
      <w:bookmarkStart w:id="56" w:name="_Toc170"/>
    </w:p>
    <w:p w14:paraId="60CA2D86">
      <w:pPr>
        <w:widowControl/>
        <w:spacing w:line="560" w:lineRule="exact"/>
        <w:ind w:firstLine="5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立足侨乡优势，加强与明溪籍“海外国医名家”詹加民的沟通联系，促进中医药文化海外的传播与交流，推动与意大利中医药学会合作交流活动，建立海外惠侨中医医疗服务站，为更多海外侨胞提供医疗服务。</w:t>
      </w:r>
    </w:p>
    <w:p w14:paraId="367FD589">
      <w:pPr>
        <w:pStyle w:val="7"/>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57" w:name="_Toc26017"/>
      <w:r>
        <w:rPr>
          <w:rFonts w:hint="default" w:ascii="Times New Roman" w:hAnsi="Times New Roman" w:eastAsia="楷体" w:cs="Times New Roman"/>
          <w:b w:val="0"/>
          <w:bCs w:val="0"/>
          <w:kern w:val="0"/>
          <w:sz w:val="32"/>
          <w:szCs w:val="32"/>
          <w:lang w:val="en-US" w:eastAsia="zh-CN"/>
        </w:rPr>
        <w:t>（五）中医药文化与康养旅游融合发展</w:t>
      </w:r>
      <w:bookmarkEnd w:id="56"/>
      <w:bookmarkEnd w:id="57"/>
    </w:p>
    <w:p w14:paraId="304574A3">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1.深入挖掘当地医药文化：</w:t>
      </w:r>
      <w:r>
        <w:rPr>
          <w:rFonts w:hint="eastAsia" w:ascii="仿宋" w:hAnsi="仿宋" w:eastAsia="仿宋" w:cs="仿宋"/>
          <w:kern w:val="2"/>
          <w:sz w:val="32"/>
          <w:szCs w:val="32"/>
          <w:lang w:val="en-US" w:eastAsia="zh-CN" w:bidi="ar-SA"/>
        </w:rPr>
        <w:t>与福建中医药大学等单位合作，深入挖掘红军战地医院遗址的红色中医内涵、长寿文化及客家侨乡中医药文化的历史起源、发展脉络，阐释价值理念、鲜明特色以及与中医药传统文化的关系。创建红色及客家侨乡中医药文化宣传基地。</w:t>
      </w:r>
    </w:p>
    <w:p w14:paraId="13A765B9">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2.丰富传播途径，打响文旅康养精品品牌：</w:t>
      </w:r>
      <w:r>
        <w:rPr>
          <w:rFonts w:hint="eastAsia" w:ascii="仿宋" w:hAnsi="仿宋" w:eastAsia="仿宋" w:cs="仿宋"/>
          <w:kern w:val="2"/>
          <w:sz w:val="32"/>
          <w:szCs w:val="32"/>
          <w:lang w:val="en-US" w:eastAsia="zh-CN" w:bidi="ar-SA"/>
        </w:rPr>
        <w:t>以红军战地医院及客家侨乡中医药人物史话、历史风貌、地理古迹、风土人情、传统习俗等多元文化元素为基础，充分运用现代技术加以挖掘利用，建设1—2个中医药文化创意产业园，加强明溪灵芝和淮山中医药品牌的宣传，运用抖音、快手、微信短视频等新媒体开展明溪灵芝和淮山产品的宣传，打响明溪“中国长寿之乡”“侨乡药乡”文旅康养精品品牌。</w:t>
      </w:r>
    </w:p>
    <w:p w14:paraId="718B5722">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3.打造红色中医药健康旅游路线：</w:t>
      </w:r>
      <w:r>
        <w:rPr>
          <w:rFonts w:hint="eastAsia" w:ascii="仿宋" w:hAnsi="仿宋" w:eastAsia="仿宋" w:cs="仿宋"/>
          <w:kern w:val="2"/>
          <w:sz w:val="32"/>
          <w:szCs w:val="32"/>
          <w:lang w:val="en-US" w:eastAsia="zh-CN" w:bidi="ar-SA"/>
        </w:rPr>
        <w:t>依托明溪县天然地理环境、自然生态资源，利用中药材种植加工业、红色中医资源、客家侨乡中医药文化、中医养生保健等中医药健康资源，开发明溪县红色中医药健康旅游路线，促进红色资源与中医文化 、文旅康养、培训研学等新业态相融合，培育中医药健康旅游新业态。</w:t>
      </w:r>
    </w:p>
    <w:tbl>
      <w:tblPr>
        <w:tblStyle w:val="20"/>
        <w:tblW w:w="88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34"/>
      </w:tblGrid>
      <w:tr w14:paraId="21C1ED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834" w:type="dxa"/>
          </w:tcPr>
          <w:p w14:paraId="59DB3E3E">
            <w:pPr>
              <w:widowControl/>
              <w:adjustRightInd w:val="0"/>
              <w:snapToGrid w:val="0"/>
              <w:spacing w:line="560" w:lineRule="exact"/>
              <w:jc w:val="center"/>
              <w:rPr>
                <w:rFonts w:ascii="Times New Roman" w:hAnsi="Times New Roman" w:eastAsia="楷体" w:cs="Times New Roman"/>
                <w:b/>
                <w:sz w:val="32"/>
                <w:szCs w:val="32"/>
              </w:rPr>
            </w:pPr>
            <w:r>
              <w:rPr>
                <w:rFonts w:hint="default" w:ascii="Times New Roman" w:hAnsi="Times New Roman" w:eastAsia="楷体" w:cs="Times New Roman"/>
                <w:b w:val="0"/>
                <w:bCs/>
                <w:sz w:val="32"/>
                <w:szCs w:val="32"/>
              </w:rPr>
              <w:t>专栏</w:t>
            </w:r>
            <w:r>
              <w:rPr>
                <w:rFonts w:hint="default" w:ascii="Times New Roman" w:hAnsi="Times New Roman" w:eastAsia="楷体" w:cs="Times New Roman"/>
                <w:b w:val="0"/>
                <w:bCs/>
                <w:sz w:val="32"/>
                <w:szCs w:val="32"/>
                <w:lang w:val="en-US" w:eastAsia="zh-CN"/>
              </w:rPr>
              <w:t>4</w:t>
            </w:r>
            <w:r>
              <w:rPr>
                <w:rFonts w:hint="default" w:ascii="Times New Roman" w:hAnsi="Times New Roman" w:eastAsia="楷体" w:cs="Times New Roman"/>
                <w:b w:val="0"/>
                <w:bCs/>
                <w:sz w:val="32"/>
                <w:szCs w:val="32"/>
              </w:rPr>
              <w:t>中医药文化旅游建设项目</w:t>
            </w:r>
          </w:p>
        </w:tc>
      </w:tr>
      <w:tr w14:paraId="7DB99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9" w:hRule="atLeast"/>
          <w:jc w:val="center"/>
        </w:trPr>
        <w:tc>
          <w:tcPr>
            <w:tcW w:w="8834" w:type="dxa"/>
          </w:tcPr>
          <w:p w14:paraId="0C7C8EA4">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1.中医药文化研究中心建设</w:t>
            </w:r>
          </w:p>
          <w:p w14:paraId="5FAF5976">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托县中医医院，建设红色、侨乡中医药文化研究中心，研究红军战地医院、客家侨乡中医药知识、技能技法、淮山治药民间疗法、器材用具、方剂、所用的原药及炮制技术、所用药材的栽培和种植技术、长寿因素等，开展中医药传承活动，打造独特的红色、客家侨乡医药文化。</w:t>
            </w:r>
          </w:p>
          <w:p w14:paraId="05952C44">
            <w:pPr>
              <w:widowControl/>
              <w:spacing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2.特色康养产业项目</w:t>
            </w:r>
          </w:p>
          <w:p w14:paraId="51154261">
            <w:pPr>
              <w:widowControl/>
              <w:spacing w:line="560" w:lineRule="exact"/>
              <w:ind w:firstLine="640" w:firstLineChars="200"/>
              <w:jc w:val="left"/>
              <w:rPr>
                <w:rFonts w:hint="default" w:ascii="Times New Roman" w:hAnsi="Times New Roman" w:eastAsia="楷体" w:cs="Times New Roman"/>
                <w:sz w:val="32"/>
                <w:szCs w:val="32"/>
                <w:lang w:val="en-US"/>
              </w:rPr>
            </w:pPr>
            <w:r>
              <w:rPr>
                <w:rFonts w:hint="eastAsia" w:ascii="仿宋" w:hAnsi="仿宋" w:eastAsia="仿宋" w:cs="仿宋"/>
                <w:kern w:val="2"/>
                <w:sz w:val="32"/>
                <w:szCs w:val="32"/>
                <w:lang w:val="en-US" w:eastAsia="zh-CN" w:bidi="ar-SA"/>
              </w:rPr>
              <w:t>重点推进胡坊镇森林康养小镇，胡坊镇肖家山、夏阳乡紫云、旦上森林康养基地等生态旅游项目。</w:t>
            </w:r>
            <w:r>
              <w:rPr>
                <w:rFonts w:hint="eastAsia" w:ascii="仿宋" w:hAnsi="仿宋" w:eastAsia="仿宋" w:cs="仿宋"/>
                <w:b/>
                <w:bCs/>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xml:space="preserve">                                                </w:t>
            </w:r>
          </w:p>
        </w:tc>
      </w:tr>
    </w:tbl>
    <w:p w14:paraId="529593ED">
      <w:pPr>
        <w:pStyle w:val="7"/>
        <w:spacing w:before="0" w:beforeLines="0" w:afterLines="0" w:line="560" w:lineRule="exact"/>
        <w:ind w:left="0" w:leftChars="0" w:firstLine="640" w:firstLineChars="200"/>
        <w:outlineLvl w:val="1"/>
        <w:rPr>
          <w:rFonts w:hint="default" w:ascii="Times New Roman" w:hAnsi="Times New Roman" w:eastAsia="楷体" w:cs="Times New Roman"/>
          <w:b w:val="0"/>
          <w:bCs w:val="0"/>
          <w:kern w:val="0"/>
          <w:sz w:val="32"/>
          <w:szCs w:val="32"/>
          <w:lang w:val="en-US" w:eastAsia="zh-CN"/>
        </w:rPr>
      </w:pPr>
      <w:bookmarkStart w:id="58" w:name="_Toc19366"/>
      <w:bookmarkStart w:id="59" w:name="_Toc17905"/>
      <w:r>
        <w:rPr>
          <w:rFonts w:hint="default" w:ascii="Times New Roman" w:hAnsi="Times New Roman" w:eastAsia="楷体" w:cs="Times New Roman"/>
          <w:b w:val="0"/>
          <w:bCs w:val="0"/>
          <w:kern w:val="0"/>
          <w:sz w:val="32"/>
          <w:szCs w:val="32"/>
          <w:lang w:val="en-US" w:eastAsia="zh-CN"/>
        </w:rPr>
        <w:t>（六）中医药康复与养老服务</w:t>
      </w:r>
      <w:bookmarkEnd w:id="58"/>
      <w:bookmarkEnd w:id="59"/>
      <w:r>
        <w:rPr>
          <w:rFonts w:hint="default" w:ascii="Times New Roman" w:hAnsi="Times New Roman" w:eastAsia="楷体" w:cs="Times New Roman"/>
          <w:b w:val="0"/>
          <w:bCs w:val="0"/>
          <w:kern w:val="0"/>
          <w:sz w:val="32"/>
          <w:szCs w:val="32"/>
          <w:lang w:val="en-US" w:eastAsia="zh-CN"/>
        </w:rPr>
        <w:t>创新探索</w:t>
      </w:r>
    </w:p>
    <w:p w14:paraId="513A5D26">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1.拓展中医特色康复服务能力：</w:t>
      </w:r>
      <w:r>
        <w:rPr>
          <w:rFonts w:hint="eastAsia" w:ascii="仿宋" w:hAnsi="仿宋" w:eastAsia="仿宋" w:cs="仿宋"/>
          <w:kern w:val="2"/>
          <w:sz w:val="32"/>
          <w:szCs w:val="32"/>
          <w:lang w:val="en-US" w:eastAsia="zh-CN" w:bidi="ar-SA"/>
        </w:rPr>
        <w:t>积极探索居家式、旅游式、候鸟式等多种多样的康复养老模式，将明溪县硒锌食疗、中医诊疗和康养理疗等中医药健康养生服务业等融入康复养老之中。在舒适的自然环境中，为中外人士提供全生命周期家族健康管理服务。通过精准深度体检、疾病风险评估、个性化干预、中医药保健和科学评价干预效果五个环节，完成贯穿全生命周期的健康管理服务。</w:t>
      </w:r>
    </w:p>
    <w:p w14:paraId="02B71AED">
      <w:pPr>
        <w:widowControl/>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仿宋" w:hAnsi="仿宋" w:eastAsia="仿宋" w:cs="仿宋"/>
          <w:b w:val="0"/>
          <w:bCs w:val="0"/>
          <w:kern w:val="2"/>
          <w:sz w:val="32"/>
          <w:szCs w:val="32"/>
          <w:lang w:val="en-US" w:eastAsia="zh-CN" w:bidi="ar-SA"/>
        </w:rPr>
        <w:t>2.促进中医药与养老服务结合：</w:t>
      </w:r>
      <w:r>
        <w:rPr>
          <w:rFonts w:hint="eastAsia" w:ascii="仿宋" w:hAnsi="仿宋" w:eastAsia="仿宋" w:cs="仿宋"/>
          <w:kern w:val="2"/>
          <w:sz w:val="32"/>
          <w:szCs w:val="32"/>
          <w:lang w:val="en-US" w:eastAsia="zh-CN" w:bidi="ar-SA"/>
        </w:rPr>
        <w:t>鼓励中医医师在养老机构提供保健咨询和调理服务。鼓励社会资本新建以中医药健康养老为主的护理院、疗养院，探索建立中医药特色医养结合的养老机构。针对老人养老需求，为本地老人提供居住型和社区型养老服务，为外地和旅游老人提供候鸟式异地养老，针对家庭度假需求，开发老年亲情社区、设计亲子活动项目、打造家庭休</w:t>
      </w:r>
      <w:bookmarkStart w:id="79" w:name="_GoBack"/>
      <w:bookmarkEnd w:id="79"/>
      <w:r>
        <w:rPr>
          <w:rFonts w:hint="eastAsia" w:ascii="仿宋" w:hAnsi="仿宋" w:eastAsia="仿宋" w:cs="仿宋"/>
          <w:kern w:val="2"/>
          <w:sz w:val="32"/>
          <w:szCs w:val="32"/>
          <w:lang w:val="en-US" w:eastAsia="zh-CN" w:bidi="ar-SA"/>
        </w:rPr>
        <w:t>闲娱乐中心。</w:t>
      </w:r>
    </w:p>
    <w:p w14:paraId="3087AD5A">
      <w:pPr>
        <w:pStyle w:val="6"/>
        <w:spacing w:before="0" w:beforeLines="0" w:after="0" w:afterLines="0" w:line="560" w:lineRule="exact"/>
        <w:ind w:firstLine="640" w:firstLineChars="200"/>
        <w:outlineLvl w:val="0"/>
        <w:rPr>
          <w:rFonts w:hint="default" w:ascii="Times New Roman" w:hAnsi="Times New Roman" w:eastAsia="黑体" w:cs="Times New Roman"/>
          <w:b w:val="0"/>
          <w:bCs w:val="0"/>
          <w:sz w:val="32"/>
          <w:szCs w:val="32"/>
        </w:rPr>
      </w:pPr>
      <w:bookmarkStart w:id="60" w:name="_Toc14559"/>
      <w:bookmarkStart w:id="61" w:name="_Toc13067"/>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、保障措施</w:t>
      </w:r>
      <w:bookmarkEnd w:id="60"/>
      <w:bookmarkEnd w:id="61"/>
    </w:p>
    <w:p w14:paraId="4A9E3628">
      <w:pPr>
        <w:pStyle w:val="7"/>
        <w:spacing w:before="0" w:beforeLines="0" w:afterLines="0" w:line="560" w:lineRule="exact"/>
        <w:ind w:firstLine="640" w:firstLineChars="200"/>
        <w:outlineLvl w:val="1"/>
        <w:rPr>
          <w:rFonts w:hint="default" w:ascii="Times New Roman" w:hAnsi="Times New Roman" w:eastAsia="楷体" w:cs="Times New Roman"/>
          <w:b w:val="0"/>
          <w:bCs w:val="0"/>
          <w:kern w:val="0"/>
          <w:sz w:val="32"/>
          <w:szCs w:val="32"/>
          <w:lang w:val="en-US" w:eastAsia="zh-CN"/>
        </w:rPr>
      </w:pPr>
      <w:bookmarkStart w:id="62" w:name="_Toc6680"/>
      <w:bookmarkStart w:id="63" w:name="_Toc8137655"/>
      <w:bookmarkStart w:id="64" w:name="_Toc17036"/>
      <w:r>
        <w:rPr>
          <w:rFonts w:hint="default" w:ascii="Times New Roman" w:hAnsi="Times New Roman" w:eastAsia="楷体" w:cs="Times New Roman"/>
          <w:b w:val="0"/>
          <w:bCs w:val="0"/>
          <w:kern w:val="0"/>
          <w:sz w:val="32"/>
          <w:szCs w:val="32"/>
          <w:lang w:val="en-US" w:eastAsia="zh-CN"/>
        </w:rPr>
        <w:t>（一）加强组织实施</w:t>
      </w:r>
      <w:bookmarkEnd w:id="62"/>
      <w:bookmarkEnd w:id="63"/>
      <w:bookmarkEnd w:id="64"/>
    </w:p>
    <w:p w14:paraId="5EAB3A29">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1.加强组织领导。</w:t>
      </w:r>
      <w:r>
        <w:rPr>
          <w:rFonts w:hint="eastAsia" w:ascii="仿宋" w:hAnsi="仿宋" w:eastAsia="仿宋" w:cs="仿宋"/>
          <w:kern w:val="2"/>
          <w:sz w:val="32"/>
          <w:szCs w:val="32"/>
          <w:lang w:val="en-US" w:eastAsia="zh-CN" w:bidi="ar-SA"/>
        </w:rPr>
        <w:t>成立由县委县政府主要领导担任组长的中医药工作领导小组和县域经济高质量发展领导小组，领导小组下设中医药大健康产业链工作组，统筹推动中医药事业和产业高质量发展。加强县中医药管理局人员配备，加强组织协调，建立联席会议制度，明确目标、落实责任，全面推进各项工作有序开展。</w:t>
      </w:r>
    </w:p>
    <w:p w14:paraId="6F2A67A0">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2.突出规划引领。</w:t>
      </w:r>
      <w:r>
        <w:rPr>
          <w:rFonts w:hint="eastAsia" w:ascii="仿宋" w:hAnsi="仿宋" w:eastAsia="仿宋" w:cs="仿宋"/>
          <w:kern w:val="2"/>
          <w:sz w:val="32"/>
          <w:szCs w:val="32"/>
          <w:lang w:val="en-US" w:eastAsia="zh-CN" w:bidi="ar-SA"/>
        </w:rPr>
        <w:t>突出规划先行，保障规划的实施效力。产业园实施错位发展、优势互补，形成产业园集群，做强产业园区。同时，以规划为指导，加快产业园区的选址与推进，制定行动计划和年度实施计划，量化分解目标任务，落实到部门、企业、项目、地块和人。</w:t>
      </w:r>
    </w:p>
    <w:p w14:paraId="4749BD83">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3.健全协调机制。</w:t>
      </w:r>
      <w:r>
        <w:rPr>
          <w:rFonts w:hint="eastAsia" w:ascii="仿宋" w:hAnsi="仿宋" w:eastAsia="仿宋" w:cs="仿宋"/>
          <w:kern w:val="2"/>
          <w:sz w:val="32"/>
          <w:szCs w:val="32"/>
          <w:lang w:val="en-US" w:eastAsia="zh-CN" w:bidi="ar-SA"/>
        </w:rPr>
        <w:t>建立全县中医药健康产业协调例会工作制度，并形成领导小组例会和专题协调例会、领导小组成员单位工作例会和领导小组办公室主任例会、各乡（镇）政府工作例会三级协调机制。</w:t>
      </w:r>
    </w:p>
    <w:p w14:paraId="7E4E0AFB">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4.营造良好氛围。</w:t>
      </w:r>
      <w:r>
        <w:rPr>
          <w:rFonts w:hint="eastAsia" w:ascii="仿宋" w:hAnsi="仿宋" w:eastAsia="仿宋" w:cs="仿宋"/>
          <w:kern w:val="2"/>
          <w:sz w:val="32"/>
          <w:szCs w:val="32"/>
          <w:lang w:val="en-US" w:eastAsia="zh-CN" w:bidi="ar-SA"/>
        </w:rPr>
        <w:t>充分利用报纸、电视、电台、网络等宣传媒体，举办有影响力的中医药产业论坛、展览会等多形式宣传明溪县中医药健康发展的思路、规划、政策和成效，营造中医药产业发展的浓厚氛围。</w:t>
      </w:r>
    </w:p>
    <w:p w14:paraId="0861B307">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5.打造健康产业整合、孵化与培训基地。</w:t>
      </w:r>
      <w:r>
        <w:rPr>
          <w:rFonts w:hint="eastAsia" w:ascii="仿宋" w:hAnsi="仿宋" w:eastAsia="仿宋" w:cs="仿宋"/>
          <w:kern w:val="2"/>
          <w:sz w:val="32"/>
          <w:szCs w:val="32"/>
          <w:lang w:val="en-US" w:eastAsia="zh-CN" w:bidi="ar-SA"/>
        </w:rPr>
        <w:t>充分借力引进中国中医科学院在健康与中医药人才培养、科学研究、产业助推等领域的优势，形成“三链（创新链、企业链、资金链）融合、创新、孵化”的大健康产业生态圈，推动明溪三明地区大健康产业创新和发展。</w:t>
      </w:r>
    </w:p>
    <w:p w14:paraId="0594043A">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6.发挥行业协会、商会等社会团体组织作用。</w:t>
      </w:r>
      <w:r>
        <w:rPr>
          <w:rFonts w:hint="eastAsia" w:ascii="仿宋" w:hAnsi="仿宋" w:eastAsia="仿宋" w:cs="仿宋"/>
          <w:kern w:val="2"/>
          <w:sz w:val="32"/>
          <w:szCs w:val="32"/>
          <w:lang w:val="en-US" w:eastAsia="zh-CN" w:bidi="ar-SA"/>
        </w:rPr>
        <w:t>充分利用国家中医药管理局对点支援的优势，发挥国家中医药行业学会、协会及三明市中医药学会、相关商会的组织作用，推动行业自律，搭建政企桥梁，服务企业，共同推进明溪大健康产业的发展。</w:t>
      </w:r>
    </w:p>
    <w:p w14:paraId="39BDE61C">
      <w:pPr>
        <w:pStyle w:val="7"/>
        <w:pageBreakBefore w:val="0"/>
        <w:kinsoku/>
        <w:wordWrap/>
        <w:overflowPunct/>
        <w:topLinePunct w:val="0"/>
        <w:autoSpaceDE/>
        <w:autoSpaceDN/>
        <w:bidi w:val="0"/>
        <w:spacing w:before="0" w:beforeLines="0" w:afterLines="0" w:line="560" w:lineRule="exact"/>
        <w:ind w:firstLine="640" w:firstLineChars="200"/>
        <w:textAlignment w:val="auto"/>
        <w:outlineLvl w:val="1"/>
        <w:rPr>
          <w:rFonts w:hint="default" w:ascii="Times New Roman" w:hAnsi="Times New Roman" w:eastAsia="楷体" w:cs="Times New Roman"/>
          <w:b w:val="0"/>
          <w:bCs w:val="0"/>
          <w:kern w:val="0"/>
          <w:sz w:val="32"/>
          <w:szCs w:val="32"/>
        </w:rPr>
      </w:pPr>
      <w:bookmarkStart w:id="65" w:name="_Toc8137656"/>
      <w:bookmarkStart w:id="66" w:name="_Toc19663"/>
      <w:bookmarkStart w:id="67" w:name="_Toc366"/>
      <w:r>
        <w:rPr>
          <w:rFonts w:hint="default" w:ascii="Times New Roman" w:hAnsi="Times New Roman" w:eastAsia="楷体" w:cs="Times New Roman"/>
          <w:b w:val="0"/>
          <w:bCs w:val="0"/>
          <w:kern w:val="0"/>
          <w:sz w:val="32"/>
          <w:szCs w:val="32"/>
          <w:lang w:val="en-US" w:eastAsia="zh-CN"/>
        </w:rPr>
        <w:t>（二）</w:t>
      </w:r>
      <w:r>
        <w:rPr>
          <w:rFonts w:hint="default" w:ascii="Times New Roman" w:hAnsi="Times New Roman" w:eastAsia="楷体" w:cs="Times New Roman"/>
          <w:b w:val="0"/>
          <w:bCs w:val="0"/>
          <w:kern w:val="0"/>
          <w:sz w:val="32"/>
          <w:szCs w:val="32"/>
        </w:rPr>
        <w:t>健全政策保障</w:t>
      </w:r>
      <w:bookmarkEnd w:id="65"/>
      <w:bookmarkEnd w:id="66"/>
      <w:bookmarkEnd w:id="67"/>
    </w:p>
    <w:p w14:paraId="0BAFBE9B">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1.财税政策。</w:t>
      </w:r>
      <w:r>
        <w:rPr>
          <w:rFonts w:hint="eastAsia" w:ascii="仿宋" w:hAnsi="仿宋" w:eastAsia="仿宋" w:cs="仿宋"/>
          <w:kern w:val="2"/>
          <w:sz w:val="32"/>
          <w:szCs w:val="32"/>
          <w:lang w:val="en-US" w:eastAsia="zh-CN" w:bidi="ar-SA"/>
        </w:rPr>
        <w:t>设立县本级产业发展基金，支持我县中医药健康产业的发展。在资金安排上，中医药第一产业投入占比达到20%；第二产业投入占比达到40%；第三产业占比达到40%。</w:t>
      </w:r>
    </w:p>
    <w:p w14:paraId="20884B9E">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2.创业政策。</w:t>
      </w:r>
      <w:r>
        <w:rPr>
          <w:rFonts w:hint="eastAsia" w:ascii="仿宋" w:hAnsi="仿宋" w:eastAsia="仿宋" w:cs="仿宋"/>
          <w:kern w:val="2"/>
          <w:sz w:val="32"/>
          <w:szCs w:val="32"/>
          <w:lang w:val="en-US" w:eastAsia="zh-CN" w:bidi="ar-SA"/>
        </w:rPr>
        <w:t>鼓励和扶持中国中医科学院的专家通过带技术、带专利、带项目、带团队等形式在明溪县创业。在注册、经营场所、启动资金、贷款、税费等方面，给予倾斜政策支持。</w:t>
      </w:r>
    </w:p>
    <w:p w14:paraId="4DA85738">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3.土地政策。</w:t>
      </w:r>
      <w:r>
        <w:rPr>
          <w:rFonts w:hint="eastAsia" w:ascii="仿宋" w:hAnsi="仿宋" w:eastAsia="仿宋" w:cs="仿宋"/>
          <w:kern w:val="2"/>
          <w:sz w:val="32"/>
          <w:szCs w:val="32"/>
          <w:lang w:val="en-US" w:eastAsia="zh-CN" w:bidi="ar-SA"/>
        </w:rPr>
        <w:t>开展中医药产业土地保障机制研究，努力争取国家和省市的支持，多渠道争取用地指标，新增建设用地计划重点向中医药健康产业倾斜，优先保障中医药产业重点项目的用地。</w:t>
      </w:r>
    </w:p>
    <w:p w14:paraId="51D28E6F">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4.产业扶持政策。</w:t>
      </w:r>
      <w:r>
        <w:rPr>
          <w:rFonts w:hint="eastAsia" w:ascii="仿宋" w:hAnsi="仿宋" w:eastAsia="仿宋" w:cs="仿宋"/>
          <w:kern w:val="2"/>
          <w:sz w:val="32"/>
          <w:szCs w:val="32"/>
          <w:lang w:val="en-US" w:eastAsia="zh-CN" w:bidi="ar-SA"/>
        </w:rPr>
        <w:t>研究制定中医药健康产业发展导向目录，明确产业发展的重点领域、关键技术和主导产品，形成配套完善、操作性强的产业政策体系。</w:t>
      </w:r>
    </w:p>
    <w:p w14:paraId="5955A091">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5.人才政策。</w:t>
      </w:r>
      <w:r>
        <w:rPr>
          <w:rFonts w:hint="eastAsia" w:ascii="仿宋" w:hAnsi="仿宋" w:eastAsia="仿宋" w:cs="仿宋"/>
          <w:kern w:val="2"/>
          <w:sz w:val="32"/>
          <w:szCs w:val="32"/>
          <w:lang w:val="en-US" w:eastAsia="zh-CN" w:bidi="ar-SA"/>
        </w:rPr>
        <w:t>研究制定人才引进激励政策，对于引进中医药相关高层次人才给予资金保障、生活保障，真正让人才引得进、留得住、安得下。</w:t>
      </w:r>
    </w:p>
    <w:p w14:paraId="32636D44">
      <w:pPr>
        <w:pStyle w:val="7"/>
        <w:pageBreakBefore w:val="0"/>
        <w:kinsoku/>
        <w:wordWrap/>
        <w:overflowPunct/>
        <w:topLinePunct w:val="0"/>
        <w:autoSpaceDE/>
        <w:autoSpaceDN/>
        <w:bidi w:val="0"/>
        <w:spacing w:before="0" w:beforeLines="0" w:afterLines="0" w:line="560" w:lineRule="exact"/>
        <w:ind w:firstLine="640" w:firstLineChars="200"/>
        <w:textAlignment w:val="auto"/>
        <w:outlineLvl w:val="1"/>
        <w:rPr>
          <w:rFonts w:hint="default" w:ascii="Times New Roman" w:hAnsi="Times New Roman" w:eastAsia="楷体" w:cs="Times New Roman"/>
          <w:b w:val="0"/>
          <w:bCs w:val="0"/>
          <w:kern w:val="0"/>
          <w:sz w:val="32"/>
          <w:szCs w:val="32"/>
        </w:rPr>
      </w:pPr>
      <w:bookmarkStart w:id="68" w:name="_Toc8137657"/>
      <w:bookmarkStart w:id="69" w:name="_Toc22879"/>
      <w:bookmarkStart w:id="70" w:name="_Toc3104"/>
      <w:r>
        <w:rPr>
          <w:rFonts w:hint="default" w:ascii="Times New Roman" w:hAnsi="Times New Roman" w:eastAsia="楷体" w:cs="Times New Roman"/>
          <w:b w:val="0"/>
          <w:bCs w:val="0"/>
          <w:kern w:val="0"/>
          <w:sz w:val="32"/>
          <w:szCs w:val="32"/>
        </w:rPr>
        <w:t>（三）建立多元化投融资机制</w:t>
      </w:r>
      <w:bookmarkEnd w:id="68"/>
      <w:bookmarkEnd w:id="69"/>
      <w:bookmarkEnd w:id="70"/>
    </w:p>
    <w:p w14:paraId="6B0924CB">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1.积极拓展企业直接融资渠道。</w:t>
      </w:r>
      <w:r>
        <w:rPr>
          <w:rFonts w:hint="eastAsia" w:ascii="仿宋" w:hAnsi="仿宋" w:eastAsia="仿宋" w:cs="仿宋"/>
          <w:kern w:val="2"/>
          <w:sz w:val="32"/>
          <w:szCs w:val="32"/>
          <w:lang w:val="en-US" w:eastAsia="zh-CN" w:bidi="ar-SA"/>
        </w:rPr>
        <w:t>探索建立创投基金、债券基金、担保基金、种子基金、天使基金等多种形式的中医药产业发展基金，促进中医药产业加快发展。</w:t>
      </w:r>
    </w:p>
    <w:p w14:paraId="0B73E9AA">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2.切实加大金融机构支持力度。</w:t>
      </w:r>
      <w:r>
        <w:rPr>
          <w:rFonts w:hint="eastAsia" w:ascii="仿宋" w:hAnsi="仿宋" w:eastAsia="仿宋" w:cs="仿宋"/>
          <w:kern w:val="2"/>
          <w:sz w:val="32"/>
          <w:szCs w:val="32"/>
          <w:lang w:val="en-US" w:eastAsia="zh-CN" w:bidi="ar-SA"/>
        </w:rPr>
        <w:t>综合运用风险补偿和财政贴息等优惠政策，鼓励银行业金融机构加大对中医药产业的信贷投放。</w:t>
      </w:r>
    </w:p>
    <w:p w14:paraId="650298C6">
      <w:pPr>
        <w:widowControl/>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3.充分发挥民间资本作用。</w:t>
      </w:r>
      <w:r>
        <w:rPr>
          <w:rFonts w:hint="eastAsia" w:ascii="仿宋" w:hAnsi="仿宋" w:eastAsia="仿宋" w:cs="仿宋"/>
          <w:kern w:val="2"/>
          <w:sz w:val="32"/>
          <w:szCs w:val="32"/>
          <w:lang w:val="en-US" w:eastAsia="zh-CN" w:bidi="ar-SA"/>
        </w:rPr>
        <w:t>鼓励民间资本发起设立专为中医药产业企业发展服务的投资公司、小额贷款公司、融资担保公司等类金融机构或金融服务中介。</w:t>
      </w:r>
    </w:p>
    <w:p w14:paraId="57E85C6C">
      <w:pPr>
        <w:pStyle w:val="25"/>
        <w:rPr>
          <w:rFonts w:hint="eastAsia" w:ascii="仿宋" w:hAnsi="仿宋" w:eastAsia="仿宋" w:cs="仿宋"/>
          <w:b/>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E75221F">
      <w:pPr>
        <w:spacing w:before="120" w:after="120" w:line="360" w:lineRule="auto"/>
        <w:outlineLvl w:val="9"/>
        <w:rPr>
          <w:rFonts w:hint="default" w:ascii="Times New Roman" w:hAnsi="Times New Roman" w:eastAsia="黑体" w:cs="Times New Roman"/>
          <w:sz w:val="32"/>
          <w:szCs w:val="32"/>
          <w:lang w:val="en-US" w:eastAsia="zh-CN"/>
        </w:rPr>
      </w:pPr>
      <w:bookmarkStart w:id="71" w:name="_Toc23266"/>
      <w:r>
        <w:rPr>
          <w:rFonts w:hint="default" w:ascii="Times New Roman" w:hAnsi="Times New Roman" w:eastAsia="黑体" w:cs="Times New Roman"/>
          <w:sz w:val="32"/>
          <w:szCs w:val="32"/>
          <w:lang w:val="en-US" w:eastAsia="zh-CN"/>
        </w:rPr>
        <w:t>附件</w:t>
      </w:r>
      <w:bookmarkEnd w:id="71"/>
      <w:r>
        <w:rPr>
          <w:rFonts w:hint="default" w:ascii="Times New Roman" w:hAnsi="Times New Roman" w:eastAsia="黑体" w:cs="Times New Roman"/>
          <w:sz w:val="32"/>
          <w:szCs w:val="32"/>
          <w:lang w:val="en-US" w:eastAsia="zh-CN"/>
        </w:rPr>
        <w:t>1</w:t>
      </w:r>
    </w:p>
    <w:p w14:paraId="6AC38D2B">
      <w:pPr>
        <w:pStyle w:val="2"/>
        <w:rPr>
          <w:rFonts w:hint="default" w:cs="宋体" w:asciiTheme="minorHAnsi" w:hAnsiTheme="minorHAnsi" w:eastAsiaTheme="minorEastAsia"/>
          <w:sz w:val="44"/>
          <w:szCs w:val="44"/>
          <w:lang w:val="en-US" w:eastAsia="zh-CN"/>
        </w:rPr>
      </w:pPr>
    </w:p>
    <w:p w14:paraId="230808FD">
      <w:pPr>
        <w:pStyle w:val="6"/>
        <w:spacing w:before="0" w:after="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bookmarkStart w:id="72" w:name="_Toc23184"/>
      <w:bookmarkStart w:id="73" w:name="_Toc21488"/>
      <w:bookmarkStart w:id="74" w:name="_Toc24773"/>
      <w:r>
        <w:rPr>
          <w:rFonts w:hint="eastAsia" w:ascii="方正小标宋简体" w:hAnsi="方正小标宋简体" w:eastAsia="方正小标宋简体" w:cs="方正小标宋简体"/>
          <w:b w:val="0"/>
          <w:bCs w:val="0"/>
          <w:sz w:val="44"/>
          <w:szCs w:val="44"/>
          <w:lang w:val="en-US" w:eastAsia="zh-CN"/>
        </w:rPr>
        <w:t>建议重点项目谋划方向安排表</w:t>
      </w:r>
      <w:bookmarkEnd w:id="72"/>
      <w:bookmarkEnd w:id="73"/>
      <w:bookmarkEnd w:id="74"/>
    </w:p>
    <w:p w14:paraId="707441FB">
      <w:pPr>
        <w:pStyle w:val="6"/>
        <w:spacing w:before="0" w:after="0" w:line="560" w:lineRule="exact"/>
        <w:jc w:val="center"/>
        <w:outlineLvl w:val="0"/>
        <w:rPr>
          <w:rFonts w:hint="eastAsia" w:ascii="方正小标宋简体" w:hAnsi="方正小标宋简体" w:eastAsia="方正小标宋简体" w:cs="方正小标宋简体"/>
          <w:b w:val="0"/>
          <w:bCs w:val="0"/>
          <w:sz w:val="32"/>
          <w:szCs w:val="32"/>
          <w:lang w:val="en-US" w:eastAsia="zh-CN"/>
        </w:rPr>
      </w:pPr>
    </w:p>
    <w:tbl>
      <w:tblPr>
        <w:tblStyle w:val="30"/>
        <w:tblW w:w="1404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5200"/>
        <w:gridCol w:w="1987"/>
        <w:gridCol w:w="1307"/>
        <w:gridCol w:w="2013"/>
        <w:gridCol w:w="1966"/>
      </w:tblGrid>
      <w:tr w14:paraId="41A9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6E3068AB">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项目名称</w:t>
            </w:r>
          </w:p>
        </w:tc>
        <w:tc>
          <w:tcPr>
            <w:tcW w:w="5200" w:type="dxa"/>
            <w:vAlign w:val="center"/>
          </w:tcPr>
          <w:p w14:paraId="03A7F2BB">
            <w:pPr>
              <w:keepNext w:val="0"/>
              <w:keepLines w:val="0"/>
              <w:pageBreakBefore w:val="0"/>
              <w:widowControl/>
              <w:kinsoku/>
              <w:wordWrap/>
              <w:overflowPunct/>
              <w:topLinePunct w:val="0"/>
              <w:autoSpaceDE/>
              <w:autoSpaceDN/>
              <w:bidi w:val="0"/>
              <w:adjustRightInd/>
              <w:snapToGrid/>
              <w:spacing w:line="440" w:lineRule="exact"/>
              <w:ind w:firstLine="562" w:firstLineChars="20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具体内容</w:t>
            </w:r>
          </w:p>
        </w:tc>
        <w:tc>
          <w:tcPr>
            <w:tcW w:w="1987" w:type="dxa"/>
            <w:vAlign w:val="center"/>
          </w:tcPr>
          <w:p w14:paraId="47F3BC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建设周期</w:t>
            </w:r>
          </w:p>
        </w:tc>
        <w:tc>
          <w:tcPr>
            <w:tcW w:w="1307" w:type="dxa"/>
            <w:vAlign w:val="center"/>
          </w:tcPr>
          <w:p w14:paraId="72AA29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建议匹配经费（元）</w:t>
            </w:r>
          </w:p>
        </w:tc>
        <w:tc>
          <w:tcPr>
            <w:tcW w:w="2013" w:type="dxa"/>
            <w:vAlign w:val="center"/>
          </w:tcPr>
          <w:p w14:paraId="522FDB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牵头部门</w:t>
            </w:r>
          </w:p>
        </w:tc>
        <w:tc>
          <w:tcPr>
            <w:tcW w:w="1966" w:type="dxa"/>
            <w:vAlign w:val="center"/>
          </w:tcPr>
          <w:p w14:paraId="528B3E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参与单位</w:t>
            </w:r>
          </w:p>
        </w:tc>
      </w:tr>
      <w:tr w14:paraId="6F27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747CCC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第一阶段</w:t>
            </w:r>
          </w:p>
        </w:tc>
        <w:tc>
          <w:tcPr>
            <w:tcW w:w="12473" w:type="dxa"/>
            <w:gridSpan w:val="5"/>
            <w:vAlign w:val="center"/>
          </w:tcPr>
          <w:p w14:paraId="295D7A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2024-2025年</w:t>
            </w:r>
          </w:p>
        </w:tc>
      </w:tr>
      <w:tr w14:paraId="5B4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restart"/>
            <w:vAlign w:val="center"/>
          </w:tcPr>
          <w:p w14:paraId="6D72D3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中医药健康产业园建设</w:t>
            </w:r>
          </w:p>
        </w:tc>
        <w:tc>
          <w:tcPr>
            <w:tcW w:w="5200" w:type="dxa"/>
            <w:vAlign w:val="center"/>
          </w:tcPr>
          <w:p w14:paraId="244266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中药材加工园（引进全国知名深加工企业入驻）</w:t>
            </w:r>
          </w:p>
        </w:tc>
        <w:tc>
          <w:tcPr>
            <w:tcW w:w="1987" w:type="dxa"/>
            <w:vAlign w:val="center"/>
          </w:tcPr>
          <w:p w14:paraId="26AA20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462DB5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1亿</w:t>
            </w:r>
          </w:p>
        </w:tc>
        <w:tc>
          <w:tcPr>
            <w:tcW w:w="2013" w:type="dxa"/>
            <w:vAlign w:val="center"/>
          </w:tcPr>
          <w:p w14:paraId="3E3FAD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工信局（商务局）</w:t>
            </w:r>
          </w:p>
        </w:tc>
        <w:tc>
          <w:tcPr>
            <w:tcW w:w="1966" w:type="dxa"/>
            <w:vAlign w:val="center"/>
          </w:tcPr>
          <w:p w14:paraId="7BC1C0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3D5A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3641AD6C">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2D8675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中药开发生产园（引进全国知名加工精深加工企业入驻）</w:t>
            </w:r>
          </w:p>
        </w:tc>
        <w:tc>
          <w:tcPr>
            <w:tcW w:w="1987" w:type="dxa"/>
            <w:vAlign w:val="center"/>
          </w:tcPr>
          <w:p w14:paraId="3951AE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19115E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1亿</w:t>
            </w:r>
          </w:p>
        </w:tc>
        <w:tc>
          <w:tcPr>
            <w:tcW w:w="2013" w:type="dxa"/>
            <w:vAlign w:val="center"/>
          </w:tcPr>
          <w:p w14:paraId="69056A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工信局（商务局）</w:t>
            </w:r>
          </w:p>
        </w:tc>
        <w:tc>
          <w:tcPr>
            <w:tcW w:w="1966" w:type="dxa"/>
            <w:vAlign w:val="center"/>
          </w:tcPr>
          <w:p w14:paraId="7EBAAC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46C2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4FB25D5A">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366251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中药综合利用园（建5个道地闽产药材综合利用转换基地）</w:t>
            </w:r>
          </w:p>
        </w:tc>
        <w:tc>
          <w:tcPr>
            <w:tcW w:w="1987" w:type="dxa"/>
            <w:vAlign w:val="center"/>
          </w:tcPr>
          <w:p w14:paraId="02DAAE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2024-2030年</w:t>
            </w:r>
          </w:p>
        </w:tc>
        <w:tc>
          <w:tcPr>
            <w:tcW w:w="1307" w:type="dxa"/>
            <w:vAlign w:val="center"/>
          </w:tcPr>
          <w:p w14:paraId="5F5877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1亿</w:t>
            </w:r>
          </w:p>
        </w:tc>
        <w:tc>
          <w:tcPr>
            <w:tcW w:w="2013" w:type="dxa"/>
            <w:vAlign w:val="center"/>
          </w:tcPr>
          <w:p w14:paraId="04A020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工信局（商务局）</w:t>
            </w:r>
          </w:p>
        </w:tc>
        <w:tc>
          <w:tcPr>
            <w:tcW w:w="1966" w:type="dxa"/>
            <w:vAlign w:val="center"/>
          </w:tcPr>
          <w:p w14:paraId="1F034D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6817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6491ED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中药材交易中心建设</w:t>
            </w:r>
          </w:p>
        </w:tc>
        <w:tc>
          <w:tcPr>
            <w:tcW w:w="5200" w:type="dxa"/>
            <w:vAlign w:val="center"/>
          </w:tcPr>
          <w:p w14:paraId="5A83DB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三大平台建设（现货交易、价格指数、智慧物联）</w:t>
            </w:r>
          </w:p>
        </w:tc>
        <w:tc>
          <w:tcPr>
            <w:tcW w:w="1987" w:type="dxa"/>
            <w:vAlign w:val="center"/>
          </w:tcPr>
          <w:p w14:paraId="6930DD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1E86EE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1亿</w:t>
            </w:r>
          </w:p>
        </w:tc>
        <w:tc>
          <w:tcPr>
            <w:tcW w:w="2013" w:type="dxa"/>
            <w:vAlign w:val="center"/>
          </w:tcPr>
          <w:p w14:paraId="5CA0D1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p w14:paraId="59ABBF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市场监管局</w:t>
            </w:r>
          </w:p>
        </w:tc>
        <w:tc>
          <w:tcPr>
            <w:tcW w:w="1966" w:type="dxa"/>
            <w:vAlign w:val="center"/>
          </w:tcPr>
          <w:p w14:paraId="569B22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64FB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restart"/>
            <w:vAlign w:val="center"/>
          </w:tcPr>
          <w:p w14:paraId="0D76AB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中医药文化研究中心建设</w:t>
            </w:r>
          </w:p>
        </w:tc>
        <w:tc>
          <w:tcPr>
            <w:tcW w:w="5200" w:type="dxa"/>
            <w:vAlign w:val="center"/>
          </w:tcPr>
          <w:p w14:paraId="3995D9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1种官方中医药文化传播客户端</w:t>
            </w:r>
          </w:p>
        </w:tc>
        <w:tc>
          <w:tcPr>
            <w:tcW w:w="1987" w:type="dxa"/>
            <w:vAlign w:val="center"/>
          </w:tcPr>
          <w:p w14:paraId="4C80B2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2E19C2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200万</w:t>
            </w:r>
          </w:p>
        </w:tc>
        <w:tc>
          <w:tcPr>
            <w:tcW w:w="2013" w:type="dxa"/>
            <w:vAlign w:val="center"/>
          </w:tcPr>
          <w:p w14:paraId="47DE9B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tc>
        <w:tc>
          <w:tcPr>
            <w:tcW w:w="1966" w:type="dxa"/>
            <w:vAlign w:val="center"/>
          </w:tcPr>
          <w:p w14:paraId="5958CF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r>
      <w:tr w14:paraId="389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3D4F05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685D0A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1—2个中医药文化创意产业园</w:t>
            </w:r>
          </w:p>
        </w:tc>
        <w:tc>
          <w:tcPr>
            <w:tcW w:w="1987" w:type="dxa"/>
            <w:vAlign w:val="center"/>
          </w:tcPr>
          <w:p w14:paraId="064046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1730F0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7CF609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c>
          <w:tcPr>
            <w:tcW w:w="1966" w:type="dxa"/>
            <w:vAlign w:val="center"/>
          </w:tcPr>
          <w:p w14:paraId="4F80BD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r>
      <w:tr w14:paraId="68F8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799AB5B8">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2A4AFD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红色、客家侨乡中医药文化宣传基地</w:t>
            </w:r>
          </w:p>
        </w:tc>
        <w:tc>
          <w:tcPr>
            <w:tcW w:w="1987" w:type="dxa"/>
            <w:vAlign w:val="center"/>
          </w:tcPr>
          <w:p w14:paraId="43811B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0C8665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342C84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tc>
        <w:tc>
          <w:tcPr>
            <w:tcW w:w="1966" w:type="dxa"/>
            <w:vAlign w:val="center"/>
          </w:tcPr>
          <w:p w14:paraId="1C5E59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r>
      <w:tr w14:paraId="1C27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13812D11">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527418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全国中医药学术活动（每年1次）</w:t>
            </w:r>
          </w:p>
        </w:tc>
        <w:tc>
          <w:tcPr>
            <w:tcW w:w="1987" w:type="dxa"/>
            <w:vAlign w:val="center"/>
          </w:tcPr>
          <w:p w14:paraId="2F1D5A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7E4756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6A8B65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tc>
        <w:tc>
          <w:tcPr>
            <w:tcW w:w="1966" w:type="dxa"/>
            <w:vAlign w:val="center"/>
          </w:tcPr>
          <w:p w14:paraId="6BB440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tc>
      </w:tr>
      <w:tr w14:paraId="6DA3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00DF50CD">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kern w:val="2"/>
                <w:sz w:val="28"/>
                <w:szCs w:val="28"/>
                <w:lang w:val="en-US" w:eastAsia="zh-CN" w:bidi="ar-SA"/>
              </w:rPr>
            </w:pPr>
          </w:p>
        </w:tc>
        <w:tc>
          <w:tcPr>
            <w:tcW w:w="5200" w:type="dxa"/>
            <w:vAlign w:val="center"/>
          </w:tcPr>
          <w:p w14:paraId="51C738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中医药健康讲座栏目（融媒体中心长期设立1个不少于20分钟的中医药讲座）</w:t>
            </w:r>
          </w:p>
        </w:tc>
        <w:tc>
          <w:tcPr>
            <w:tcW w:w="1987" w:type="dxa"/>
            <w:vAlign w:val="center"/>
          </w:tcPr>
          <w:p w14:paraId="00DAFD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76B526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50万</w:t>
            </w:r>
          </w:p>
        </w:tc>
        <w:tc>
          <w:tcPr>
            <w:tcW w:w="2013" w:type="dxa"/>
            <w:vAlign w:val="center"/>
          </w:tcPr>
          <w:p w14:paraId="3BFBEC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c>
          <w:tcPr>
            <w:tcW w:w="1966" w:type="dxa"/>
            <w:vAlign w:val="center"/>
          </w:tcPr>
          <w:p w14:paraId="47971A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卫健局</w:t>
            </w:r>
          </w:p>
        </w:tc>
      </w:tr>
      <w:tr w14:paraId="723F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56E330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中医药品牌战略</w:t>
            </w:r>
          </w:p>
        </w:tc>
        <w:tc>
          <w:tcPr>
            <w:tcW w:w="5200" w:type="dxa"/>
            <w:vAlign w:val="center"/>
          </w:tcPr>
          <w:p w14:paraId="174C71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明溪灵芝、铁皮石斛、淮山产品品牌的新媒体宣传与推广</w:t>
            </w:r>
          </w:p>
        </w:tc>
        <w:tc>
          <w:tcPr>
            <w:tcW w:w="1987" w:type="dxa"/>
            <w:vAlign w:val="center"/>
          </w:tcPr>
          <w:p w14:paraId="53A2C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54C82F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300万</w:t>
            </w:r>
          </w:p>
        </w:tc>
        <w:tc>
          <w:tcPr>
            <w:tcW w:w="2013" w:type="dxa"/>
            <w:vAlign w:val="center"/>
          </w:tcPr>
          <w:p w14:paraId="43724E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融媒体中心</w:t>
            </w:r>
          </w:p>
        </w:tc>
        <w:tc>
          <w:tcPr>
            <w:tcW w:w="1966" w:type="dxa"/>
            <w:vAlign w:val="center"/>
          </w:tcPr>
          <w:p w14:paraId="213A05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文体和旅游局</w:t>
            </w:r>
          </w:p>
          <w:p w14:paraId="6E08A201">
            <w:pPr>
              <w:keepNext w:val="0"/>
              <w:keepLines w:val="0"/>
              <w:widowControl/>
              <w:spacing w:line="44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林业局</w:t>
            </w:r>
          </w:p>
          <w:p w14:paraId="02240F0F">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农业农村局</w:t>
            </w:r>
          </w:p>
        </w:tc>
      </w:tr>
      <w:tr w14:paraId="2949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07AA67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中医特色小街建设</w:t>
            </w:r>
          </w:p>
        </w:tc>
        <w:tc>
          <w:tcPr>
            <w:tcW w:w="5200" w:type="dxa"/>
            <w:vAlign w:val="center"/>
          </w:tcPr>
          <w:p w14:paraId="63600E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在紫云村打造1条中医药养生、食疗、观鸟休闲度假特色小街</w:t>
            </w:r>
          </w:p>
        </w:tc>
        <w:tc>
          <w:tcPr>
            <w:tcW w:w="1987" w:type="dxa"/>
            <w:vAlign w:val="center"/>
          </w:tcPr>
          <w:p w14:paraId="52AB79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70C0DE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1000万</w:t>
            </w:r>
          </w:p>
        </w:tc>
        <w:tc>
          <w:tcPr>
            <w:tcW w:w="2013" w:type="dxa"/>
            <w:vAlign w:val="center"/>
          </w:tcPr>
          <w:p w14:paraId="7ABD6E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文体和旅游局</w:t>
            </w:r>
          </w:p>
        </w:tc>
        <w:tc>
          <w:tcPr>
            <w:tcW w:w="1966" w:type="dxa"/>
            <w:vAlign w:val="center"/>
          </w:tcPr>
          <w:p w14:paraId="272EF2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夏阳乡</w:t>
            </w:r>
          </w:p>
          <w:p w14:paraId="3F348E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文体和旅游局</w:t>
            </w:r>
          </w:p>
        </w:tc>
      </w:tr>
      <w:tr w14:paraId="0E73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36AA6CA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中医药红色健康旅游路线打造</w:t>
            </w:r>
          </w:p>
        </w:tc>
        <w:tc>
          <w:tcPr>
            <w:tcW w:w="5200" w:type="dxa"/>
            <w:vAlign w:val="center"/>
          </w:tcPr>
          <w:p w14:paraId="1956D8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开发城关乡坪埠村红军战地医院遗址—紫云中医药特色小街—翠竹洋火山口—胡坊镇森林康养小镇—盖洋镇“长寿之乡”—明洲足疗药浴养生酒店1条红色中医药健康旅游路线</w:t>
            </w:r>
          </w:p>
        </w:tc>
        <w:tc>
          <w:tcPr>
            <w:tcW w:w="1987" w:type="dxa"/>
            <w:vAlign w:val="center"/>
          </w:tcPr>
          <w:p w14:paraId="5FEAC9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73C547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1000万</w:t>
            </w:r>
          </w:p>
        </w:tc>
        <w:tc>
          <w:tcPr>
            <w:tcW w:w="2013" w:type="dxa"/>
            <w:vAlign w:val="center"/>
          </w:tcPr>
          <w:p w14:paraId="45CC62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文体和旅游局</w:t>
            </w:r>
          </w:p>
        </w:tc>
        <w:tc>
          <w:tcPr>
            <w:tcW w:w="1966" w:type="dxa"/>
            <w:vAlign w:val="center"/>
          </w:tcPr>
          <w:p w14:paraId="7D3B85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文体和旅游局</w:t>
            </w:r>
          </w:p>
        </w:tc>
      </w:tr>
      <w:tr w14:paraId="609541AE">
        <w:tblPrEx>
          <w:tblCellMar>
            <w:top w:w="0" w:type="dxa"/>
            <w:left w:w="108" w:type="dxa"/>
            <w:bottom w:w="0" w:type="dxa"/>
            <w:right w:w="108" w:type="dxa"/>
          </w:tblCellMar>
        </w:tblPrEx>
        <w:trPr>
          <w:trHeight w:val="1529" w:hRule="atLeast"/>
        </w:trPr>
        <w:tc>
          <w:tcPr>
            <w:tcW w:w="1575" w:type="dxa"/>
            <w:vAlign w:val="center"/>
          </w:tcPr>
          <w:p w14:paraId="428348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中医药及配套产品生产制造</w:t>
            </w:r>
          </w:p>
        </w:tc>
        <w:tc>
          <w:tcPr>
            <w:tcW w:w="5200" w:type="dxa"/>
            <w:vAlign w:val="center"/>
          </w:tcPr>
          <w:p w14:paraId="7889DB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建设铁皮石斛高标准大棚并种植铁皮石斛，同步生产铁皮石斛乳酸菌及铁皮石斛提纯等配套工艺</w:t>
            </w:r>
          </w:p>
        </w:tc>
        <w:tc>
          <w:tcPr>
            <w:tcW w:w="1987" w:type="dxa"/>
            <w:vAlign w:val="center"/>
          </w:tcPr>
          <w:p w14:paraId="0936FE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2024-2025年</w:t>
            </w:r>
          </w:p>
        </w:tc>
        <w:tc>
          <w:tcPr>
            <w:tcW w:w="1307" w:type="dxa"/>
            <w:vAlign w:val="center"/>
          </w:tcPr>
          <w:p w14:paraId="21800C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400万</w:t>
            </w:r>
          </w:p>
        </w:tc>
        <w:tc>
          <w:tcPr>
            <w:tcW w:w="2013" w:type="dxa"/>
            <w:vAlign w:val="center"/>
          </w:tcPr>
          <w:p w14:paraId="4FD0BDE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雪峰镇</w:t>
            </w:r>
          </w:p>
        </w:tc>
        <w:tc>
          <w:tcPr>
            <w:tcW w:w="1966" w:type="dxa"/>
            <w:vAlign w:val="center"/>
          </w:tcPr>
          <w:p w14:paraId="767DFE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农业农村局</w:t>
            </w:r>
          </w:p>
        </w:tc>
      </w:tr>
      <w:tr w14:paraId="42E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08C5BF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第二阶段</w:t>
            </w:r>
          </w:p>
        </w:tc>
        <w:tc>
          <w:tcPr>
            <w:tcW w:w="12473" w:type="dxa"/>
            <w:gridSpan w:val="5"/>
            <w:vAlign w:val="center"/>
          </w:tcPr>
          <w:p w14:paraId="1C4841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2025-2030年</w:t>
            </w:r>
          </w:p>
        </w:tc>
      </w:tr>
      <w:tr w14:paraId="519F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restart"/>
            <w:vAlign w:val="center"/>
          </w:tcPr>
          <w:p w14:paraId="259E2F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中药材生产基地建设</w:t>
            </w:r>
          </w:p>
        </w:tc>
        <w:tc>
          <w:tcPr>
            <w:tcW w:w="5200" w:type="dxa"/>
            <w:vAlign w:val="center"/>
          </w:tcPr>
          <w:p w14:paraId="0BF536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3个千亩灵芝种植示范基地</w:t>
            </w:r>
          </w:p>
        </w:tc>
        <w:tc>
          <w:tcPr>
            <w:tcW w:w="1987" w:type="dxa"/>
            <w:vAlign w:val="center"/>
          </w:tcPr>
          <w:p w14:paraId="4C818A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2025-2030年</w:t>
            </w:r>
          </w:p>
        </w:tc>
        <w:tc>
          <w:tcPr>
            <w:tcW w:w="1307" w:type="dxa"/>
            <w:vAlign w:val="center"/>
          </w:tcPr>
          <w:p w14:paraId="7CF365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450万</w:t>
            </w:r>
          </w:p>
        </w:tc>
        <w:tc>
          <w:tcPr>
            <w:tcW w:w="2013" w:type="dxa"/>
            <w:vAlign w:val="center"/>
          </w:tcPr>
          <w:p w14:paraId="7F7AA0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林业局</w:t>
            </w:r>
          </w:p>
        </w:tc>
        <w:tc>
          <w:tcPr>
            <w:tcW w:w="1966" w:type="dxa"/>
            <w:vAlign w:val="center"/>
          </w:tcPr>
          <w:p w14:paraId="4D33B9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胡坊镇</w:t>
            </w:r>
          </w:p>
        </w:tc>
      </w:tr>
      <w:tr w14:paraId="5D7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5D70DB3B">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7E1588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1个千亩铁皮石斛种植示范基地</w:t>
            </w:r>
          </w:p>
        </w:tc>
        <w:tc>
          <w:tcPr>
            <w:tcW w:w="1987" w:type="dxa"/>
            <w:vAlign w:val="center"/>
          </w:tcPr>
          <w:p w14:paraId="0A1B62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2025-2030年</w:t>
            </w:r>
          </w:p>
        </w:tc>
        <w:tc>
          <w:tcPr>
            <w:tcW w:w="1307" w:type="dxa"/>
            <w:vAlign w:val="center"/>
          </w:tcPr>
          <w:p w14:paraId="440E3D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3D36FDB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林业局</w:t>
            </w:r>
          </w:p>
        </w:tc>
        <w:tc>
          <w:tcPr>
            <w:tcW w:w="1966" w:type="dxa"/>
            <w:vAlign w:val="center"/>
          </w:tcPr>
          <w:p w14:paraId="2BB9FE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雪峰镇</w:t>
            </w:r>
          </w:p>
        </w:tc>
      </w:tr>
      <w:tr w14:paraId="4CEC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18528B9E">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7A5CAA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1个百亩淮山种植示范基地</w:t>
            </w:r>
          </w:p>
        </w:tc>
        <w:tc>
          <w:tcPr>
            <w:tcW w:w="1987" w:type="dxa"/>
            <w:vAlign w:val="center"/>
          </w:tcPr>
          <w:p w14:paraId="5AB865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2025-2030年</w:t>
            </w:r>
          </w:p>
        </w:tc>
        <w:tc>
          <w:tcPr>
            <w:tcW w:w="1307" w:type="dxa"/>
            <w:vAlign w:val="center"/>
          </w:tcPr>
          <w:p w14:paraId="3C4C997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4D5A92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农业农村局</w:t>
            </w:r>
          </w:p>
        </w:tc>
        <w:tc>
          <w:tcPr>
            <w:tcW w:w="1966" w:type="dxa"/>
            <w:vAlign w:val="center"/>
          </w:tcPr>
          <w:p w14:paraId="2B0FF7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城关乡</w:t>
            </w:r>
          </w:p>
        </w:tc>
      </w:tr>
      <w:tr w14:paraId="0E29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33E98666">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670F6B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1个淮山药健康产品加工基地</w:t>
            </w:r>
          </w:p>
        </w:tc>
        <w:tc>
          <w:tcPr>
            <w:tcW w:w="1987" w:type="dxa"/>
            <w:vAlign w:val="center"/>
          </w:tcPr>
          <w:p w14:paraId="221DF2F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305D30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100万</w:t>
            </w:r>
          </w:p>
        </w:tc>
        <w:tc>
          <w:tcPr>
            <w:tcW w:w="2013" w:type="dxa"/>
            <w:vAlign w:val="center"/>
          </w:tcPr>
          <w:p w14:paraId="581467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农业农村局</w:t>
            </w:r>
          </w:p>
        </w:tc>
        <w:tc>
          <w:tcPr>
            <w:tcW w:w="1966" w:type="dxa"/>
            <w:vAlign w:val="center"/>
          </w:tcPr>
          <w:p w14:paraId="0C462E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城关乡</w:t>
            </w:r>
          </w:p>
        </w:tc>
      </w:tr>
      <w:tr w14:paraId="0DD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52567B4E">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7D5DE8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1个铁皮石斛健康产品加工基地</w:t>
            </w:r>
          </w:p>
        </w:tc>
        <w:tc>
          <w:tcPr>
            <w:tcW w:w="1987" w:type="dxa"/>
            <w:vAlign w:val="center"/>
          </w:tcPr>
          <w:p w14:paraId="070B130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5F763D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100万</w:t>
            </w:r>
          </w:p>
        </w:tc>
        <w:tc>
          <w:tcPr>
            <w:tcW w:w="2013" w:type="dxa"/>
            <w:vAlign w:val="center"/>
          </w:tcPr>
          <w:p w14:paraId="03A0CD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农业农村局</w:t>
            </w:r>
          </w:p>
        </w:tc>
        <w:tc>
          <w:tcPr>
            <w:tcW w:w="1966" w:type="dxa"/>
            <w:vAlign w:val="center"/>
          </w:tcPr>
          <w:p w14:paraId="5161FF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雪峰镇</w:t>
            </w:r>
          </w:p>
        </w:tc>
      </w:tr>
      <w:tr w14:paraId="01D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27A69709">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0BE751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1个灵芝健康产品加工基地</w:t>
            </w:r>
          </w:p>
        </w:tc>
        <w:tc>
          <w:tcPr>
            <w:tcW w:w="1987" w:type="dxa"/>
            <w:vAlign w:val="center"/>
          </w:tcPr>
          <w:p w14:paraId="021020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6D43F4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100万</w:t>
            </w:r>
          </w:p>
        </w:tc>
        <w:tc>
          <w:tcPr>
            <w:tcW w:w="2013" w:type="dxa"/>
            <w:vAlign w:val="center"/>
          </w:tcPr>
          <w:p w14:paraId="3235F7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农业农村局</w:t>
            </w:r>
          </w:p>
        </w:tc>
        <w:tc>
          <w:tcPr>
            <w:tcW w:w="1966" w:type="dxa"/>
            <w:vAlign w:val="center"/>
          </w:tcPr>
          <w:p w14:paraId="244558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胡坊镇</w:t>
            </w:r>
          </w:p>
        </w:tc>
      </w:tr>
      <w:tr w14:paraId="6D34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3A5A083E">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0A9771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草珊瑚良种繁育基地建设</w:t>
            </w:r>
          </w:p>
        </w:tc>
        <w:tc>
          <w:tcPr>
            <w:tcW w:w="1987" w:type="dxa"/>
            <w:vAlign w:val="center"/>
          </w:tcPr>
          <w:p w14:paraId="12C511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67ABBA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100万</w:t>
            </w:r>
          </w:p>
        </w:tc>
        <w:tc>
          <w:tcPr>
            <w:tcW w:w="2013" w:type="dxa"/>
            <w:vAlign w:val="center"/>
          </w:tcPr>
          <w:p w14:paraId="127DAD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农业农村局</w:t>
            </w:r>
          </w:p>
          <w:p w14:paraId="5BEF0E5E">
            <w:pPr>
              <w:pStyle w:val="2"/>
              <w:ind w:left="0" w:firstLine="0" w:firstLineChars="0"/>
              <w:jc w:val="center"/>
              <w:rPr>
                <w:rFonts w:hint="eastAsia" w:ascii="仿宋" w:hAnsi="仿宋" w:eastAsia="仿宋" w:cs="仿宋"/>
                <w:lang w:val="en-US" w:eastAsia="zh-CN"/>
              </w:rPr>
            </w:pPr>
            <w:r>
              <w:rPr>
                <w:rFonts w:hint="eastAsia" w:ascii="仿宋" w:hAnsi="仿宋" w:eastAsia="仿宋" w:cs="仿宋"/>
                <w:kern w:val="2"/>
                <w:sz w:val="28"/>
                <w:szCs w:val="28"/>
                <w:lang w:val="en-US" w:eastAsia="zh-CN" w:bidi="ar-SA"/>
              </w:rPr>
              <w:t>林业局</w:t>
            </w:r>
          </w:p>
        </w:tc>
        <w:tc>
          <w:tcPr>
            <w:tcW w:w="1966" w:type="dxa"/>
            <w:vAlign w:val="center"/>
          </w:tcPr>
          <w:p w14:paraId="41177E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枫溪乡</w:t>
            </w:r>
          </w:p>
        </w:tc>
      </w:tr>
      <w:tr w14:paraId="0E00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Merge w:val="continue"/>
            <w:vAlign w:val="center"/>
          </w:tcPr>
          <w:p w14:paraId="2F6B32CA">
            <w:pPr>
              <w:keepNext w:val="0"/>
              <w:keepLines w:val="0"/>
              <w:pageBreakBefore w:val="0"/>
              <w:widowControl/>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kern w:val="2"/>
                <w:sz w:val="28"/>
                <w:szCs w:val="28"/>
                <w:lang w:val="en-US" w:eastAsia="zh-CN" w:bidi="ar-SA"/>
              </w:rPr>
            </w:pPr>
          </w:p>
        </w:tc>
        <w:tc>
          <w:tcPr>
            <w:tcW w:w="5200" w:type="dxa"/>
            <w:vAlign w:val="center"/>
          </w:tcPr>
          <w:p w14:paraId="2BD0BC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中药材全程可追溯规范化生产示范基地</w:t>
            </w:r>
          </w:p>
        </w:tc>
        <w:tc>
          <w:tcPr>
            <w:tcW w:w="1987" w:type="dxa"/>
            <w:vAlign w:val="center"/>
          </w:tcPr>
          <w:p w14:paraId="0389A7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3FAC52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1000万</w:t>
            </w:r>
          </w:p>
        </w:tc>
        <w:tc>
          <w:tcPr>
            <w:tcW w:w="2013" w:type="dxa"/>
            <w:vAlign w:val="center"/>
          </w:tcPr>
          <w:p w14:paraId="2F87A6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农业农村局</w:t>
            </w:r>
          </w:p>
        </w:tc>
        <w:tc>
          <w:tcPr>
            <w:tcW w:w="1966" w:type="dxa"/>
            <w:vAlign w:val="center"/>
          </w:tcPr>
          <w:p w14:paraId="2439C9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胡坊镇</w:t>
            </w:r>
          </w:p>
        </w:tc>
      </w:tr>
      <w:tr w14:paraId="624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06F331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中药现代化工程技术研究中心建设</w:t>
            </w:r>
          </w:p>
        </w:tc>
        <w:tc>
          <w:tcPr>
            <w:tcW w:w="5200" w:type="dxa"/>
            <w:vAlign w:val="center"/>
          </w:tcPr>
          <w:p w14:paraId="1A3B3E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中药材种植经营主体技术培训、创新中药及核心品种产品力提升</w:t>
            </w:r>
          </w:p>
        </w:tc>
        <w:tc>
          <w:tcPr>
            <w:tcW w:w="1987" w:type="dxa"/>
            <w:vAlign w:val="center"/>
          </w:tcPr>
          <w:p w14:paraId="54D36F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45B9C4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100万</w:t>
            </w:r>
          </w:p>
        </w:tc>
        <w:tc>
          <w:tcPr>
            <w:tcW w:w="2013" w:type="dxa"/>
            <w:vAlign w:val="center"/>
          </w:tcPr>
          <w:p w14:paraId="47E04CD4">
            <w:pPr>
              <w:pStyle w:val="6"/>
              <w:spacing w:line="440" w:lineRule="exact"/>
              <w:jc w:val="center"/>
              <w:rPr>
                <w:rFonts w:hint="eastAsia" w:ascii="仿宋" w:hAnsi="仿宋" w:eastAsia="仿宋" w:cs="仿宋"/>
                <w:lang w:val="en-US" w:eastAsia="zh-CN"/>
              </w:rPr>
            </w:pPr>
            <w:r>
              <w:rPr>
                <w:rFonts w:hint="eastAsia" w:ascii="仿宋" w:hAnsi="仿宋" w:eastAsia="仿宋" w:cs="仿宋"/>
                <w:b w:val="0"/>
                <w:bCs w:val="0"/>
                <w:kern w:val="2"/>
                <w:sz w:val="28"/>
                <w:szCs w:val="28"/>
                <w:lang w:val="en-US" w:eastAsia="zh-CN" w:bidi="ar-SA"/>
              </w:rPr>
              <w:t>农业农村局</w:t>
            </w:r>
          </w:p>
        </w:tc>
        <w:tc>
          <w:tcPr>
            <w:tcW w:w="1966" w:type="dxa"/>
            <w:vAlign w:val="center"/>
          </w:tcPr>
          <w:p w14:paraId="10C606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p>
        </w:tc>
      </w:tr>
      <w:tr w14:paraId="0719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71FBCA2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中药材保质仓储基地建设</w:t>
            </w:r>
          </w:p>
        </w:tc>
        <w:tc>
          <w:tcPr>
            <w:tcW w:w="5200" w:type="dxa"/>
            <w:vAlign w:val="center"/>
          </w:tcPr>
          <w:p w14:paraId="2182F6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引进中药材仓储企业，为中药材初加工企业提供现代化、集约化、标准化的中药材仓储和物流配送服务</w:t>
            </w:r>
          </w:p>
        </w:tc>
        <w:tc>
          <w:tcPr>
            <w:tcW w:w="1987" w:type="dxa"/>
            <w:vAlign w:val="center"/>
          </w:tcPr>
          <w:p w14:paraId="517E3F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2025-2030年</w:t>
            </w:r>
          </w:p>
        </w:tc>
        <w:tc>
          <w:tcPr>
            <w:tcW w:w="1307" w:type="dxa"/>
            <w:vAlign w:val="center"/>
          </w:tcPr>
          <w:p w14:paraId="600360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100万</w:t>
            </w:r>
          </w:p>
        </w:tc>
        <w:tc>
          <w:tcPr>
            <w:tcW w:w="2013" w:type="dxa"/>
            <w:vAlign w:val="center"/>
          </w:tcPr>
          <w:p w14:paraId="7918BC94">
            <w:pPr>
              <w:pStyle w:val="6"/>
              <w:spacing w:line="44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市场监督局</w:t>
            </w:r>
          </w:p>
        </w:tc>
        <w:tc>
          <w:tcPr>
            <w:tcW w:w="1966" w:type="dxa"/>
            <w:vAlign w:val="center"/>
          </w:tcPr>
          <w:p w14:paraId="142640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630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7AFF3A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中医药健康产业园建设</w:t>
            </w:r>
          </w:p>
        </w:tc>
        <w:tc>
          <w:tcPr>
            <w:tcW w:w="5200" w:type="dxa"/>
            <w:vAlign w:val="center"/>
          </w:tcPr>
          <w:p w14:paraId="0A3A5C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中药综合利用园（建5个道地闽产药材综合利用转换基地）</w:t>
            </w:r>
          </w:p>
        </w:tc>
        <w:tc>
          <w:tcPr>
            <w:tcW w:w="1987" w:type="dxa"/>
            <w:vAlign w:val="center"/>
          </w:tcPr>
          <w:p w14:paraId="5861B9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2025-2030年</w:t>
            </w:r>
          </w:p>
        </w:tc>
        <w:tc>
          <w:tcPr>
            <w:tcW w:w="1307" w:type="dxa"/>
            <w:vAlign w:val="center"/>
          </w:tcPr>
          <w:p w14:paraId="100EA7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1亿</w:t>
            </w:r>
          </w:p>
        </w:tc>
        <w:tc>
          <w:tcPr>
            <w:tcW w:w="2013" w:type="dxa"/>
            <w:vAlign w:val="center"/>
          </w:tcPr>
          <w:p w14:paraId="0253B2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工信局（商务局）</w:t>
            </w:r>
          </w:p>
        </w:tc>
        <w:tc>
          <w:tcPr>
            <w:tcW w:w="1966" w:type="dxa"/>
            <w:vAlign w:val="center"/>
          </w:tcPr>
          <w:p w14:paraId="1F0A83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经济开发区</w:t>
            </w:r>
          </w:p>
        </w:tc>
      </w:tr>
      <w:tr w14:paraId="600E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097DEA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药食同源产业研究院建设</w:t>
            </w:r>
          </w:p>
        </w:tc>
        <w:tc>
          <w:tcPr>
            <w:tcW w:w="5200" w:type="dxa"/>
            <w:vAlign w:val="center"/>
          </w:tcPr>
          <w:p w14:paraId="6D4F97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依托沃林生物有限公司，联合江中制药、中国药膳研究会等单位建设药膳同源产业研究院，围绕双核品种，开发灵芝茶、灵芝枸杞红枣茶、铁皮石斛西洋参茶、灵芝白茶等</w:t>
            </w:r>
          </w:p>
        </w:tc>
        <w:tc>
          <w:tcPr>
            <w:tcW w:w="1987" w:type="dxa"/>
            <w:vAlign w:val="center"/>
          </w:tcPr>
          <w:p w14:paraId="0F351D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62C993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1000万</w:t>
            </w:r>
          </w:p>
        </w:tc>
        <w:tc>
          <w:tcPr>
            <w:tcW w:w="2013" w:type="dxa"/>
            <w:vAlign w:val="center"/>
          </w:tcPr>
          <w:p w14:paraId="25EF13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市场监管局</w:t>
            </w:r>
          </w:p>
          <w:p w14:paraId="496EEB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卫健局</w:t>
            </w:r>
          </w:p>
        </w:tc>
        <w:tc>
          <w:tcPr>
            <w:tcW w:w="1966" w:type="dxa"/>
            <w:vAlign w:val="center"/>
          </w:tcPr>
          <w:p w14:paraId="39D9C0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p>
        </w:tc>
      </w:tr>
      <w:tr w14:paraId="4504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753582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中药材交易中心建设</w:t>
            </w:r>
          </w:p>
        </w:tc>
        <w:tc>
          <w:tcPr>
            <w:tcW w:w="5200" w:type="dxa"/>
            <w:vAlign w:val="center"/>
          </w:tcPr>
          <w:p w14:paraId="72B2D993">
            <w:pPr>
              <w:widowControl/>
              <w:spacing w:line="440" w:lineRule="exact"/>
              <w:jc w:val="both"/>
              <w:rPr>
                <w:rFonts w:hint="eastAsia" w:ascii="仿宋" w:hAnsi="仿宋" w:eastAsia="仿宋" w:cs="仿宋"/>
                <w:kern w:val="0"/>
                <w:sz w:val="21"/>
                <w:szCs w:val="28"/>
                <w:lang w:val="en-US" w:eastAsia="zh-CN" w:bidi="ar-SA"/>
              </w:rPr>
            </w:pPr>
            <w:r>
              <w:rPr>
                <w:rFonts w:hint="eastAsia" w:ascii="仿宋" w:hAnsi="仿宋" w:eastAsia="仿宋" w:cs="仿宋"/>
                <w:kern w:val="2"/>
                <w:sz w:val="28"/>
                <w:szCs w:val="28"/>
                <w:highlight w:val="none"/>
                <w:lang w:val="en-US" w:eastAsia="zh-CN" w:bidi="ar-SA"/>
              </w:rPr>
              <w:t>在中医药健康产业园区建设“中药材检测认证中心（含大数据、质量溯源系统）”“中药材交易中心”等，创新“互联网+中药产业+金融服务+现代物流”服务模式，全面打造一体化的中药产业现代供应链创新服务平台和福建省重要的中药材原产地交易市场。</w:t>
            </w:r>
          </w:p>
        </w:tc>
        <w:tc>
          <w:tcPr>
            <w:tcW w:w="1987" w:type="dxa"/>
            <w:vAlign w:val="center"/>
          </w:tcPr>
          <w:p w14:paraId="083AB6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6A2973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1亿</w:t>
            </w:r>
          </w:p>
        </w:tc>
        <w:tc>
          <w:tcPr>
            <w:tcW w:w="2013" w:type="dxa"/>
            <w:vAlign w:val="center"/>
          </w:tcPr>
          <w:p w14:paraId="3143481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卫健局</w:t>
            </w:r>
          </w:p>
          <w:p w14:paraId="470BE181">
            <w:pPr>
              <w:pStyle w:val="6"/>
              <w:spacing w:line="440" w:lineRule="exact"/>
              <w:ind w:firstLine="280" w:firstLineChars="100"/>
              <w:jc w:val="center"/>
              <w:rPr>
                <w:rFonts w:hint="eastAsia" w:ascii="仿宋" w:hAnsi="仿宋" w:eastAsia="仿宋" w:cs="仿宋"/>
                <w:lang w:val="en-US" w:eastAsia="zh-CN"/>
              </w:rPr>
            </w:pPr>
            <w:r>
              <w:rPr>
                <w:rFonts w:hint="eastAsia" w:ascii="仿宋" w:hAnsi="仿宋" w:eastAsia="仿宋" w:cs="仿宋"/>
                <w:b w:val="0"/>
                <w:bCs w:val="0"/>
                <w:kern w:val="2"/>
                <w:sz w:val="28"/>
                <w:szCs w:val="28"/>
                <w:lang w:val="en-US" w:eastAsia="zh-CN" w:bidi="ar-SA"/>
              </w:rPr>
              <w:t>市场监管局</w:t>
            </w:r>
          </w:p>
        </w:tc>
        <w:tc>
          <w:tcPr>
            <w:tcW w:w="1966" w:type="dxa"/>
            <w:vAlign w:val="center"/>
          </w:tcPr>
          <w:p w14:paraId="55C94B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经济开发区</w:t>
            </w:r>
          </w:p>
        </w:tc>
      </w:tr>
      <w:tr w14:paraId="6A41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7C56F7E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海外营销网络和跨境产业链构建</w:t>
            </w:r>
          </w:p>
        </w:tc>
        <w:tc>
          <w:tcPr>
            <w:tcW w:w="5200" w:type="dxa"/>
            <w:vAlign w:val="center"/>
          </w:tcPr>
          <w:p w14:paraId="6E8600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依托福建省跨境电商综合服务平台，建立或引进跨境电商企业落户明溪大健康产业园，构建包括平台、卖家、服务商等在内的高端药食同源产品海外营销网络和跨境电商全产业链发展体系</w:t>
            </w:r>
          </w:p>
        </w:tc>
        <w:tc>
          <w:tcPr>
            <w:tcW w:w="1987" w:type="dxa"/>
            <w:vAlign w:val="center"/>
          </w:tcPr>
          <w:p w14:paraId="465CD7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083744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1000万</w:t>
            </w:r>
          </w:p>
        </w:tc>
        <w:tc>
          <w:tcPr>
            <w:tcW w:w="2013" w:type="dxa"/>
            <w:vAlign w:val="center"/>
          </w:tcPr>
          <w:p w14:paraId="701329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工信局</w:t>
            </w:r>
          </w:p>
        </w:tc>
        <w:tc>
          <w:tcPr>
            <w:tcW w:w="1966" w:type="dxa"/>
            <w:vAlign w:val="center"/>
          </w:tcPr>
          <w:p w14:paraId="4EE173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卫健局</w:t>
            </w:r>
          </w:p>
        </w:tc>
      </w:tr>
      <w:tr w14:paraId="2325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75" w:type="dxa"/>
            <w:vAlign w:val="center"/>
          </w:tcPr>
          <w:p w14:paraId="65685B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特色康养产业基地建设</w:t>
            </w:r>
          </w:p>
        </w:tc>
        <w:tc>
          <w:tcPr>
            <w:tcW w:w="5200" w:type="dxa"/>
            <w:vAlign w:val="center"/>
          </w:tcPr>
          <w:p w14:paraId="290991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胡坊镇“洗肺”森林氧吧、肖家山、紫云、旦上森林康养基地建设</w:t>
            </w:r>
          </w:p>
        </w:tc>
        <w:tc>
          <w:tcPr>
            <w:tcW w:w="1987" w:type="dxa"/>
            <w:vAlign w:val="center"/>
          </w:tcPr>
          <w:p w14:paraId="0CCBD0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2025-2030年</w:t>
            </w:r>
          </w:p>
        </w:tc>
        <w:tc>
          <w:tcPr>
            <w:tcW w:w="1307" w:type="dxa"/>
            <w:vAlign w:val="center"/>
          </w:tcPr>
          <w:p w14:paraId="19F186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1亿</w:t>
            </w:r>
          </w:p>
        </w:tc>
        <w:tc>
          <w:tcPr>
            <w:tcW w:w="2013" w:type="dxa"/>
            <w:vAlign w:val="center"/>
          </w:tcPr>
          <w:p w14:paraId="5AB9FE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林业局</w:t>
            </w:r>
          </w:p>
        </w:tc>
        <w:tc>
          <w:tcPr>
            <w:tcW w:w="1966" w:type="dxa"/>
            <w:vAlign w:val="center"/>
          </w:tcPr>
          <w:p w14:paraId="3D5DF1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胡坊镇、夏阳乡</w:t>
            </w:r>
          </w:p>
        </w:tc>
      </w:tr>
    </w:tbl>
    <w:p w14:paraId="6CCAF1E5">
      <w:pPr>
        <w:spacing w:before="120" w:after="120" w:line="360" w:lineRule="auto"/>
        <w:outlineLvl w:val="9"/>
        <w:rPr>
          <w:rFonts w:hint="default" w:ascii="Times New Roman" w:hAnsi="Times New Roman" w:eastAsia="黑体" w:cs="Times New Roman"/>
          <w:color w:val="auto"/>
          <w:sz w:val="30"/>
          <w:szCs w:val="30"/>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6F6430">
      <w:pPr>
        <w:spacing w:before="0" w:after="0" w:line="560" w:lineRule="exact"/>
        <w:outlineLvl w:val="9"/>
        <w:rPr>
          <w:rFonts w:hint="eastAsia" w:ascii="黑体" w:hAnsi="黑体" w:eastAsia="黑体" w:cs="黑体"/>
          <w:sz w:val="32"/>
          <w:szCs w:val="32"/>
          <w:lang w:val="en-US" w:eastAsia="zh-CN"/>
        </w:rPr>
      </w:pPr>
      <w:bookmarkStart w:id="75" w:name="_Toc13678"/>
      <w:bookmarkStart w:id="76" w:name="_Toc28854"/>
      <w:r>
        <w:rPr>
          <w:rFonts w:hint="eastAsia" w:ascii="黑体" w:hAnsi="黑体" w:eastAsia="黑体" w:cs="黑体"/>
          <w:sz w:val="32"/>
          <w:szCs w:val="32"/>
          <w:lang w:val="en-US" w:eastAsia="zh-CN"/>
        </w:rPr>
        <w:t>附件</w:t>
      </w:r>
      <w:bookmarkEnd w:id="75"/>
      <w:r>
        <w:rPr>
          <w:rFonts w:hint="eastAsia" w:ascii="黑体" w:hAnsi="黑体" w:eastAsia="黑体" w:cs="黑体"/>
          <w:sz w:val="32"/>
          <w:szCs w:val="32"/>
          <w:lang w:val="en-US" w:eastAsia="zh-CN"/>
        </w:rPr>
        <w:t>3</w:t>
      </w:r>
    </w:p>
    <w:p w14:paraId="43EDF8A0">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bookmarkStart w:id="77" w:name="_Toc19311"/>
    </w:p>
    <w:p w14:paraId="06CFCAED">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中药材标准化种植基地可合作对象（部分）</w:t>
      </w:r>
      <w:bookmarkEnd w:id="76"/>
      <w:bookmarkEnd w:id="77"/>
    </w:p>
    <w:p w14:paraId="176B32FD">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p>
    <w:tbl>
      <w:tblPr>
        <w:tblStyle w:val="19"/>
        <w:tblW w:w="14191" w:type="dxa"/>
        <w:tblCellSpacing w:w="0" w:type="dxa"/>
        <w:tblInd w:w="79" w:type="dxa"/>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Layout w:type="fixed"/>
        <w:tblCellMar>
          <w:top w:w="0" w:type="dxa"/>
          <w:left w:w="0" w:type="dxa"/>
          <w:bottom w:w="0" w:type="dxa"/>
          <w:right w:w="0" w:type="dxa"/>
        </w:tblCellMar>
      </w:tblPr>
      <w:tblGrid>
        <w:gridCol w:w="1456"/>
        <w:gridCol w:w="1031"/>
        <w:gridCol w:w="3191"/>
        <w:gridCol w:w="2953"/>
        <w:gridCol w:w="5560"/>
      </w:tblGrid>
      <w:tr w14:paraId="64438FFD">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575" w:hRule="atLeast"/>
          <w:tblCellSpacing w:w="0" w:type="dxa"/>
        </w:trPr>
        <w:tc>
          <w:tcPr>
            <w:tcW w:w="1456" w:type="dxa"/>
            <w:tcBorders>
              <w:tl2br w:val="nil"/>
              <w:tr2bl w:val="nil"/>
            </w:tcBorders>
            <w:shd w:val="clear" w:color="auto" w:fill="auto"/>
            <w:tcMar>
              <w:left w:w="108" w:type="dxa"/>
              <w:right w:w="108" w:type="dxa"/>
            </w:tcMar>
            <w:vAlign w:val="center"/>
          </w:tcPr>
          <w:p w14:paraId="30485601">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中药材</w:t>
            </w:r>
          </w:p>
          <w:p w14:paraId="600B30E7">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品种</w:t>
            </w:r>
          </w:p>
        </w:tc>
        <w:tc>
          <w:tcPr>
            <w:tcW w:w="1031" w:type="dxa"/>
            <w:tcBorders>
              <w:tl2br w:val="nil"/>
              <w:tr2bl w:val="nil"/>
            </w:tcBorders>
            <w:shd w:val="clear" w:color="auto" w:fill="auto"/>
            <w:tcMar>
              <w:left w:w="108" w:type="dxa"/>
              <w:right w:w="108" w:type="dxa"/>
            </w:tcMar>
            <w:vAlign w:val="center"/>
          </w:tcPr>
          <w:p w14:paraId="520E435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种植</w:t>
            </w:r>
          </w:p>
          <w:p w14:paraId="21D8E3FD">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面积</w:t>
            </w:r>
          </w:p>
        </w:tc>
        <w:tc>
          <w:tcPr>
            <w:tcW w:w="3191" w:type="dxa"/>
            <w:tcBorders>
              <w:tl2br w:val="nil"/>
              <w:tr2bl w:val="nil"/>
            </w:tcBorders>
            <w:shd w:val="clear" w:color="auto" w:fill="auto"/>
            <w:tcMar>
              <w:left w:w="108" w:type="dxa"/>
              <w:right w:w="108" w:type="dxa"/>
            </w:tcMar>
            <w:vAlign w:val="center"/>
          </w:tcPr>
          <w:p w14:paraId="5F39FB2C">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对应大健康、医药产品类</w:t>
            </w:r>
          </w:p>
        </w:tc>
        <w:tc>
          <w:tcPr>
            <w:tcW w:w="2953" w:type="dxa"/>
            <w:tcBorders>
              <w:tl2br w:val="nil"/>
              <w:tr2bl w:val="nil"/>
            </w:tcBorders>
            <w:shd w:val="clear" w:color="auto" w:fill="auto"/>
            <w:tcMar>
              <w:left w:w="108" w:type="dxa"/>
              <w:right w:w="108" w:type="dxa"/>
            </w:tcMar>
            <w:vAlign w:val="center"/>
          </w:tcPr>
          <w:p w14:paraId="017DE64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可合作企业</w:t>
            </w:r>
          </w:p>
        </w:tc>
        <w:tc>
          <w:tcPr>
            <w:tcW w:w="5560" w:type="dxa"/>
            <w:tcBorders>
              <w:tl2br w:val="nil"/>
              <w:tr2bl w:val="nil"/>
            </w:tcBorders>
            <w:shd w:val="clear" w:color="auto" w:fill="auto"/>
            <w:tcMar>
              <w:left w:w="108" w:type="dxa"/>
              <w:right w:w="108" w:type="dxa"/>
            </w:tcMar>
            <w:vAlign w:val="center"/>
          </w:tcPr>
          <w:p w14:paraId="5D2ABD8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推荐理由</w:t>
            </w:r>
          </w:p>
        </w:tc>
      </w:tr>
      <w:tr w14:paraId="09562B83">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90" w:hRule="atLeast"/>
          <w:tblCellSpacing w:w="0" w:type="dxa"/>
        </w:trPr>
        <w:tc>
          <w:tcPr>
            <w:tcW w:w="1456" w:type="dxa"/>
            <w:vMerge w:val="restart"/>
            <w:tcBorders>
              <w:tl2br w:val="nil"/>
              <w:tr2bl w:val="nil"/>
            </w:tcBorders>
            <w:shd w:val="clear" w:color="auto" w:fill="auto"/>
            <w:tcMar>
              <w:left w:w="108" w:type="dxa"/>
              <w:right w:w="108" w:type="dxa"/>
            </w:tcMar>
            <w:vAlign w:val="center"/>
          </w:tcPr>
          <w:p w14:paraId="7CE3C1A3">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灵芝</w:t>
            </w:r>
          </w:p>
        </w:tc>
        <w:tc>
          <w:tcPr>
            <w:tcW w:w="1031" w:type="dxa"/>
            <w:vMerge w:val="restart"/>
            <w:tcBorders>
              <w:tl2br w:val="nil"/>
              <w:tr2bl w:val="nil"/>
            </w:tcBorders>
            <w:shd w:val="clear" w:color="auto" w:fill="auto"/>
            <w:tcMar>
              <w:left w:w="108" w:type="dxa"/>
              <w:right w:w="108" w:type="dxa"/>
            </w:tcMar>
            <w:vAlign w:val="center"/>
          </w:tcPr>
          <w:p w14:paraId="33D13EC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3000</w:t>
            </w:r>
          </w:p>
        </w:tc>
        <w:tc>
          <w:tcPr>
            <w:tcW w:w="6144" w:type="dxa"/>
            <w:gridSpan w:val="2"/>
            <w:tcBorders>
              <w:tl2br w:val="nil"/>
              <w:tr2bl w:val="nil"/>
            </w:tcBorders>
            <w:shd w:val="clear" w:color="auto" w:fill="auto"/>
            <w:tcMar>
              <w:left w:w="108" w:type="dxa"/>
              <w:right w:w="108" w:type="dxa"/>
            </w:tcMar>
            <w:vAlign w:val="center"/>
          </w:tcPr>
          <w:p w14:paraId="50AE3E2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大健康产品类</w:t>
            </w:r>
          </w:p>
        </w:tc>
        <w:tc>
          <w:tcPr>
            <w:tcW w:w="5560" w:type="dxa"/>
            <w:tcBorders>
              <w:tl2br w:val="nil"/>
              <w:tr2bl w:val="nil"/>
            </w:tcBorders>
            <w:shd w:val="clear" w:color="auto" w:fill="auto"/>
            <w:tcMar>
              <w:left w:w="108" w:type="dxa"/>
              <w:right w:w="108" w:type="dxa"/>
            </w:tcMar>
            <w:vAlign w:val="center"/>
          </w:tcPr>
          <w:p w14:paraId="72D055AC">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工信部数据显示：2019年灵芝及其制品的销售额达到了205亿元。2.国家林草局《林草中药材产业发展业指南》年需求量0.5-1万吨。</w:t>
            </w:r>
          </w:p>
        </w:tc>
      </w:tr>
      <w:tr w14:paraId="0761A7DE">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426"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6A7E7276">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7AFF5C2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124FCD7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灵芝片、灵芝西洋参口服液 破壁灵芝孢子粉胶囊</w:t>
            </w:r>
          </w:p>
        </w:tc>
        <w:tc>
          <w:tcPr>
            <w:tcW w:w="2953" w:type="dxa"/>
            <w:tcBorders>
              <w:tl2br w:val="nil"/>
              <w:tr2bl w:val="nil"/>
            </w:tcBorders>
            <w:shd w:val="clear" w:color="auto" w:fill="auto"/>
            <w:tcMar>
              <w:left w:w="108" w:type="dxa"/>
              <w:right w:w="108" w:type="dxa"/>
            </w:tcMar>
            <w:vAlign w:val="center"/>
          </w:tcPr>
          <w:p w14:paraId="73690D3D">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北京同仁堂</w:t>
            </w:r>
          </w:p>
        </w:tc>
        <w:tc>
          <w:tcPr>
            <w:tcW w:w="5560" w:type="dxa"/>
            <w:tcBorders>
              <w:tl2br w:val="nil"/>
              <w:tr2bl w:val="nil"/>
            </w:tcBorders>
            <w:shd w:val="clear" w:color="auto" w:fill="auto"/>
            <w:tcMar>
              <w:left w:w="108" w:type="dxa"/>
              <w:right w:w="108" w:type="dxa"/>
            </w:tcMar>
            <w:vAlign w:val="center"/>
          </w:tcPr>
          <w:p w14:paraId="43113B27">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同仁堂集团坚持以中医中药为主攻方向，构建了集种植(养殖)、制造、销售、医疗、康养、研发于一体的大健康产业链条。2022年公司实现营业收入153.72亿元。</w:t>
            </w:r>
          </w:p>
        </w:tc>
      </w:tr>
      <w:tr w14:paraId="08216044">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426"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5C9689C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27C56928">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07FF8B5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灵芝孢子粉</w:t>
            </w:r>
          </w:p>
        </w:tc>
        <w:tc>
          <w:tcPr>
            <w:tcW w:w="2953" w:type="dxa"/>
            <w:tcBorders>
              <w:tl2br w:val="nil"/>
              <w:tr2bl w:val="nil"/>
            </w:tcBorders>
            <w:shd w:val="clear" w:color="auto" w:fill="auto"/>
            <w:tcMar>
              <w:left w:w="108" w:type="dxa"/>
              <w:right w:w="108" w:type="dxa"/>
            </w:tcMar>
            <w:vAlign w:val="center"/>
          </w:tcPr>
          <w:p w14:paraId="11C1680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浙江寿仙谷医药有限公司</w:t>
            </w:r>
          </w:p>
        </w:tc>
        <w:tc>
          <w:tcPr>
            <w:tcW w:w="5560" w:type="dxa"/>
            <w:tcBorders>
              <w:tl2br w:val="nil"/>
              <w:tr2bl w:val="nil"/>
            </w:tcBorders>
            <w:shd w:val="clear" w:color="auto" w:fill="auto"/>
            <w:tcMar>
              <w:left w:w="108" w:type="dxa"/>
              <w:right w:w="108" w:type="dxa"/>
            </w:tcMar>
            <w:vAlign w:val="center"/>
          </w:tcPr>
          <w:p w14:paraId="7CE6AE3A">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寿仙谷2022年灵芝孢子粉销售额达到5.79亿</w:t>
            </w:r>
          </w:p>
        </w:tc>
      </w:tr>
      <w:tr w14:paraId="46973955">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405"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5E0E6FE3">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75EA0D78">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3E6071D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灵芝孢子油软胶囊、灵芝孢子油灵芝提取物软胶囊、康爱芝宝胶囊、芝宁胶囊、灵芝西洋参茶</w:t>
            </w:r>
          </w:p>
        </w:tc>
        <w:tc>
          <w:tcPr>
            <w:tcW w:w="2953" w:type="dxa"/>
            <w:tcBorders>
              <w:tl2br w:val="nil"/>
              <w:tr2bl w:val="nil"/>
            </w:tcBorders>
            <w:shd w:val="clear" w:color="auto" w:fill="auto"/>
            <w:tcMar>
              <w:left w:w="108" w:type="dxa"/>
              <w:right w:w="108" w:type="dxa"/>
            </w:tcMar>
            <w:vAlign w:val="center"/>
          </w:tcPr>
          <w:p w14:paraId="01AD2B9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福建仙芝楼生物科技有限公司</w:t>
            </w:r>
          </w:p>
        </w:tc>
        <w:tc>
          <w:tcPr>
            <w:tcW w:w="5560" w:type="dxa"/>
            <w:tcBorders>
              <w:tl2br w:val="nil"/>
              <w:tr2bl w:val="nil"/>
            </w:tcBorders>
            <w:shd w:val="clear" w:color="auto" w:fill="auto"/>
            <w:tcMar>
              <w:left w:w="108" w:type="dxa"/>
              <w:right w:w="108" w:type="dxa"/>
            </w:tcMar>
            <w:vAlign w:val="center"/>
          </w:tcPr>
          <w:p w14:paraId="0EB958C5">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作为福建灵芝行业龙头企业的仙芝楼，灵芝产品已远销30多个国家和地区，年产值3亿元</w:t>
            </w:r>
          </w:p>
        </w:tc>
      </w:tr>
      <w:tr w14:paraId="63FE4756">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344"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3071371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30563844">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3B35A21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灵芝茶、灵芝枸杞红枣茶</w:t>
            </w:r>
          </w:p>
        </w:tc>
        <w:tc>
          <w:tcPr>
            <w:tcW w:w="2953" w:type="dxa"/>
            <w:tcBorders>
              <w:tl2br w:val="nil"/>
              <w:tr2bl w:val="nil"/>
            </w:tcBorders>
            <w:shd w:val="clear" w:color="auto" w:fill="auto"/>
            <w:tcMar>
              <w:left w:w="108" w:type="dxa"/>
              <w:right w:w="108" w:type="dxa"/>
            </w:tcMar>
            <w:vAlign w:val="center"/>
          </w:tcPr>
          <w:p w14:paraId="0C50E3F5">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沃林生物</w:t>
            </w:r>
          </w:p>
        </w:tc>
        <w:tc>
          <w:tcPr>
            <w:tcW w:w="5560" w:type="dxa"/>
            <w:tcBorders>
              <w:tl2br w:val="nil"/>
              <w:tr2bl w:val="nil"/>
            </w:tcBorders>
            <w:shd w:val="clear" w:color="auto" w:fill="auto"/>
            <w:tcMar>
              <w:left w:w="108" w:type="dxa"/>
              <w:right w:w="108" w:type="dxa"/>
            </w:tcMar>
            <w:vAlign w:val="center"/>
          </w:tcPr>
          <w:p w14:paraId="2210CD5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本土企业</w:t>
            </w:r>
          </w:p>
        </w:tc>
      </w:tr>
      <w:tr w14:paraId="683ADC4C">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448"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1D343BA1">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1730807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71221164">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灵芝白茶等健康产品</w:t>
            </w:r>
          </w:p>
        </w:tc>
        <w:tc>
          <w:tcPr>
            <w:tcW w:w="2953" w:type="dxa"/>
            <w:tcBorders>
              <w:tl2br w:val="nil"/>
              <w:tr2bl w:val="nil"/>
            </w:tcBorders>
            <w:shd w:val="clear" w:color="auto" w:fill="auto"/>
            <w:tcMar>
              <w:left w:w="108" w:type="dxa"/>
              <w:right w:w="108" w:type="dxa"/>
            </w:tcMar>
            <w:vAlign w:val="center"/>
          </w:tcPr>
          <w:p w14:paraId="62D2B2F8">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沃林生物</w:t>
            </w:r>
          </w:p>
        </w:tc>
        <w:tc>
          <w:tcPr>
            <w:tcW w:w="5560" w:type="dxa"/>
            <w:tcBorders>
              <w:tl2br w:val="nil"/>
              <w:tr2bl w:val="nil"/>
            </w:tcBorders>
            <w:shd w:val="clear" w:color="auto" w:fill="auto"/>
            <w:tcMar>
              <w:left w:w="108" w:type="dxa"/>
              <w:right w:w="108" w:type="dxa"/>
            </w:tcMar>
            <w:vAlign w:val="center"/>
          </w:tcPr>
          <w:p w14:paraId="11E1775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本土企业</w:t>
            </w:r>
          </w:p>
        </w:tc>
      </w:tr>
      <w:tr w14:paraId="2F587C32">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42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20D7010C">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06F137D5">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6144" w:type="dxa"/>
            <w:gridSpan w:val="2"/>
            <w:tcBorders>
              <w:tl2br w:val="nil"/>
              <w:tr2bl w:val="nil"/>
            </w:tcBorders>
            <w:shd w:val="clear" w:color="auto" w:fill="auto"/>
            <w:tcMar>
              <w:left w:w="108" w:type="dxa"/>
              <w:right w:w="108" w:type="dxa"/>
            </w:tcMar>
            <w:vAlign w:val="center"/>
          </w:tcPr>
          <w:p w14:paraId="4A873348">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b/>
                <w:bCs/>
                <w:kern w:val="2"/>
                <w:sz w:val="24"/>
                <w:szCs w:val="24"/>
                <w:lang w:val="en-US" w:eastAsia="zh-CN" w:bidi="ar-SA"/>
              </w:rPr>
              <w:t>医药产品类</w:t>
            </w:r>
          </w:p>
        </w:tc>
        <w:tc>
          <w:tcPr>
            <w:tcW w:w="5560" w:type="dxa"/>
            <w:tcBorders>
              <w:tl2br w:val="nil"/>
              <w:tr2bl w:val="nil"/>
            </w:tcBorders>
            <w:shd w:val="clear" w:color="auto" w:fill="auto"/>
            <w:tcMar>
              <w:left w:w="108" w:type="dxa"/>
              <w:right w:w="108" w:type="dxa"/>
            </w:tcMar>
            <w:vAlign w:val="center"/>
          </w:tcPr>
          <w:p w14:paraId="16E9E58D">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w:t>
            </w:r>
          </w:p>
        </w:tc>
      </w:tr>
      <w:tr w14:paraId="0C7F3857">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82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262B8E3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1CFBF21D">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26181A3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灵芝益寿胶囊、灵芝糖浆、灵芝片、康艾扶正胶囊</w:t>
            </w:r>
          </w:p>
        </w:tc>
        <w:tc>
          <w:tcPr>
            <w:tcW w:w="2953" w:type="dxa"/>
            <w:tcBorders>
              <w:tl2br w:val="nil"/>
              <w:tr2bl w:val="nil"/>
            </w:tcBorders>
            <w:shd w:val="clear" w:color="auto" w:fill="auto"/>
            <w:tcMar>
              <w:left w:w="108" w:type="dxa"/>
              <w:right w:w="108" w:type="dxa"/>
            </w:tcMar>
            <w:vAlign w:val="center"/>
          </w:tcPr>
          <w:p w14:paraId="5DACD9AC">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贵州汉方药业</w:t>
            </w:r>
          </w:p>
        </w:tc>
        <w:tc>
          <w:tcPr>
            <w:tcW w:w="5560" w:type="dxa"/>
            <w:tcBorders>
              <w:tl2br w:val="nil"/>
              <w:tr2bl w:val="nil"/>
            </w:tcBorders>
            <w:shd w:val="clear" w:color="auto" w:fill="auto"/>
            <w:tcMar>
              <w:left w:w="108" w:type="dxa"/>
              <w:right w:w="108" w:type="dxa"/>
            </w:tcMar>
            <w:vAlign w:val="center"/>
          </w:tcPr>
          <w:p w14:paraId="78F298A4">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康艾扶正胶囊：2022年销售额约700万（贵州汉方）</w:t>
            </w:r>
          </w:p>
        </w:tc>
      </w:tr>
      <w:tr w14:paraId="69D21209">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591"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24190D69">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1D3C736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06DA3B4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宝灵芝酒、灵芝北芪片、灵芝糖浆（颗粒等）、舒肝宁注射液等</w:t>
            </w:r>
          </w:p>
        </w:tc>
        <w:tc>
          <w:tcPr>
            <w:tcW w:w="2953" w:type="dxa"/>
            <w:tcBorders>
              <w:tl2br w:val="nil"/>
              <w:tr2bl w:val="nil"/>
            </w:tcBorders>
            <w:shd w:val="clear" w:color="auto" w:fill="auto"/>
            <w:tcMar>
              <w:left w:w="108" w:type="dxa"/>
              <w:right w:w="108" w:type="dxa"/>
            </w:tcMar>
            <w:vAlign w:val="center"/>
          </w:tcPr>
          <w:p w14:paraId="5F9FC4E4">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贵州瑞和制药</w:t>
            </w:r>
          </w:p>
        </w:tc>
        <w:tc>
          <w:tcPr>
            <w:tcW w:w="5560" w:type="dxa"/>
            <w:tcBorders>
              <w:tl2br w:val="nil"/>
              <w:tr2bl w:val="nil"/>
            </w:tcBorders>
            <w:shd w:val="clear" w:color="auto" w:fill="auto"/>
            <w:tcMar>
              <w:left w:w="108" w:type="dxa"/>
              <w:right w:w="108" w:type="dxa"/>
            </w:tcMar>
            <w:vAlign w:val="center"/>
          </w:tcPr>
          <w:p w14:paraId="26B0CBD6">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舒肝宁注射液：2022年销售额超10亿元</w:t>
            </w:r>
          </w:p>
        </w:tc>
      </w:tr>
      <w:tr w14:paraId="4A083F97">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90" w:hRule="atLeast"/>
          <w:tblCellSpacing w:w="0" w:type="dxa"/>
        </w:trPr>
        <w:tc>
          <w:tcPr>
            <w:tcW w:w="1456" w:type="dxa"/>
            <w:vMerge w:val="restart"/>
            <w:tcBorders>
              <w:tl2br w:val="nil"/>
              <w:tr2bl w:val="nil"/>
            </w:tcBorders>
            <w:shd w:val="clear" w:color="auto" w:fill="auto"/>
            <w:tcMar>
              <w:left w:w="108" w:type="dxa"/>
              <w:right w:w="108" w:type="dxa"/>
            </w:tcMar>
            <w:vAlign w:val="center"/>
          </w:tcPr>
          <w:p w14:paraId="551CDFE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淮山</w:t>
            </w:r>
          </w:p>
        </w:tc>
        <w:tc>
          <w:tcPr>
            <w:tcW w:w="1031" w:type="dxa"/>
            <w:vMerge w:val="restart"/>
            <w:tcBorders>
              <w:tl2br w:val="nil"/>
              <w:tr2bl w:val="nil"/>
            </w:tcBorders>
            <w:shd w:val="clear" w:color="auto" w:fill="auto"/>
            <w:tcMar>
              <w:left w:w="108" w:type="dxa"/>
              <w:right w:w="108" w:type="dxa"/>
            </w:tcMar>
            <w:vAlign w:val="center"/>
          </w:tcPr>
          <w:p w14:paraId="6F9E8876">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1000</w:t>
            </w:r>
          </w:p>
        </w:tc>
        <w:tc>
          <w:tcPr>
            <w:tcW w:w="6144" w:type="dxa"/>
            <w:gridSpan w:val="2"/>
            <w:tcBorders>
              <w:tl2br w:val="nil"/>
              <w:tr2bl w:val="nil"/>
            </w:tcBorders>
            <w:shd w:val="clear" w:color="auto" w:fill="auto"/>
            <w:tcMar>
              <w:left w:w="108" w:type="dxa"/>
              <w:right w:w="108" w:type="dxa"/>
            </w:tcMar>
            <w:vAlign w:val="center"/>
          </w:tcPr>
          <w:p w14:paraId="4ECEF07E">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大健康产品类</w:t>
            </w:r>
          </w:p>
        </w:tc>
        <w:tc>
          <w:tcPr>
            <w:tcW w:w="5560" w:type="dxa"/>
            <w:tcBorders>
              <w:tl2br w:val="nil"/>
              <w:tr2bl w:val="nil"/>
            </w:tcBorders>
            <w:shd w:val="clear" w:color="auto" w:fill="auto"/>
            <w:tcMar>
              <w:left w:w="108" w:type="dxa"/>
              <w:right w:w="108" w:type="dxa"/>
            </w:tcMar>
            <w:vAlign w:val="center"/>
          </w:tcPr>
          <w:p w14:paraId="4F5AF973">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r>
      <w:tr w14:paraId="6FC3007F">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82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67006AC1">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424EF7EE">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69DBB3E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山格淮山面线、淮山小卷、山格淮山红枣枸杞粉</w:t>
            </w:r>
          </w:p>
        </w:tc>
        <w:tc>
          <w:tcPr>
            <w:tcW w:w="2953" w:type="dxa"/>
            <w:tcBorders>
              <w:tl2br w:val="nil"/>
              <w:tr2bl w:val="nil"/>
            </w:tcBorders>
            <w:shd w:val="clear" w:color="auto" w:fill="auto"/>
            <w:tcMar>
              <w:left w:w="108" w:type="dxa"/>
              <w:right w:w="108" w:type="dxa"/>
            </w:tcMar>
            <w:vAlign w:val="center"/>
          </w:tcPr>
          <w:p w14:paraId="1AA2B04D">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山格农业集团</w:t>
            </w:r>
          </w:p>
        </w:tc>
        <w:tc>
          <w:tcPr>
            <w:tcW w:w="5560" w:type="dxa"/>
            <w:tcBorders>
              <w:tl2br w:val="nil"/>
              <w:tr2bl w:val="nil"/>
            </w:tcBorders>
            <w:shd w:val="clear" w:color="auto" w:fill="auto"/>
            <w:tcMar>
              <w:left w:w="108" w:type="dxa"/>
              <w:right w:w="108" w:type="dxa"/>
            </w:tcMar>
            <w:vAlign w:val="center"/>
          </w:tcPr>
          <w:p w14:paraId="5045E30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2022年实现营业收入1.97亿元，同比增长37.10%</w:t>
            </w:r>
          </w:p>
        </w:tc>
      </w:tr>
      <w:tr w14:paraId="4A8DF8FB">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82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10E1BED5">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7359D23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6FF547F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铁棍山药月饼、山药复合肽、山药烩面</w:t>
            </w:r>
          </w:p>
        </w:tc>
        <w:tc>
          <w:tcPr>
            <w:tcW w:w="2953" w:type="dxa"/>
            <w:tcBorders>
              <w:tl2br w:val="nil"/>
              <w:tr2bl w:val="nil"/>
            </w:tcBorders>
            <w:shd w:val="clear" w:color="auto" w:fill="auto"/>
            <w:tcMar>
              <w:left w:w="108" w:type="dxa"/>
              <w:right w:w="108" w:type="dxa"/>
            </w:tcMar>
            <w:vAlign w:val="center"/>
          </w:tcPr>
          <w:p w14:paraId="3A4DF33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温县益生情山药有限公司</w:t>
            </w:r>
          </w:p>
        </w:tc>
        <w:tc>
          <w:tcPr>
            <w:tcW w:w="5560" w:type="dxa"/>
            <w:tcBorders>
              <w:tl2br w:val="nil"/>
              <w:tr2bl w:val="nil"/>
            </w:tcBorders>
            <w:shd w:val="clear" w:color="auto" w:fill="auto"/>
            <w:tcMar>
              <w:left w:w="108" w:type="dxa"/>
              <w:right w:w="108" w:type="dxa"/>
            </w:tcMar>
            <w:vAlign w:val="center"/>
          </w:tcPr>
          <w:p w14:paraId="49B657D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2023年温县铁棍山药种植面积达3.4万亩，年产鲜山药5万余吨，年销售额约8.5亿元，年效益约3亿元</w:t>
            </w:r>
          </w:p>
        </w:tc>
      </w:tr>
      <w:tr w14:paraId="75C4246D">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9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11C4DE72">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26537A2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6144" w:type="dxa"/>
            <w:gridSpan w:val="2"/>
            <w:tcBorders>
              <w:tl2br w:val="nil"/>
              <w:tr2bl w:val="nil"/>
            </w:tcBorders>
            <w:shd w:val="clear" w:color="auto" w:fill="auto"/>
            <w:tcMar>
              <w:left w:w="108" w:type="dxa"/>
              <w:right w:w="108" w:type="dxa"/>
            </w:tcMar>
            <w:vAlign w:val="center"/>
          </w:tcPr>
          <w:p w14:paraId="497FBDC3">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医药类产品</w:t>
            </w:r>
          </w:p>
        </w:tc>
        <w:tc>
          <w:tcPr>
            <w:tcW w:w="5560" w:type="dxa"/>
            <w:tcBorders>
              <w:tl2br w:val="nil"/>
              <w:tr2bl w:val="nil"/>
            </w:tcBorders>
            <w:shd w:val="clear" w:color="auto" w:fill="auto"/>
            <w:tcMar>
              <w:left w:w="108" w:type="dxa"/>
              <w:right w:w="108" w:type="dxa"/>
            </w:tcMar>
            <w:vAlign w:val="center"/>
          </w:tcPr>
          <w:p w14:paraId="6AB75DF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r>
      <w:tr w14:paraId="6C86E889">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shd w:val="clear" w:color="auto" w:fill="auto"/>
          <w:tblCellMar>
            <w:top w:w="0" w:type="dxa"/>
            <w:left w:w="0" w:type="dxa"/>
            <w:bottom w:w="0" w:type="dxa"/>
            <w:right w:w="0" w:type="dxa"/>
          </w:tblCellMar>
        </w:tblPrEx>
        <w:trPr>
          <w:trHeight w:val="820" w:hRule="atLeast"/>
          <w:tblCellSpacing w:w="0" w:type="dxa"/>
        </w:trPr>
        <w:tc>
          <w:tcPr>
            <w:tcW w:w="1456" w:type="dxa"/>
            <w:vMerge w:val="continue"/>
            <w:tcBorders>
              <w:tl2br w:val="nil"/>
              <w:tr2bl w:val="nil"/>
            </w:tcBorders>
            <w:shd w:val="clear" w:color="auto" w:fill="auto"/>
            <w:tcMar>
              <w:left w:w="108" w:type="dxa"/>
              <w:right w:w="108" w:type="dxa"/>
            </w:tcMar>
            <w:vAlign w:val="center"/>
          </w:tcPr>
          <w:p w14:paraId="65BC387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1031" w:type="dxa"/>
            <w:vMerge w:val="continue"/>
            <w:tcBorders>
              <w:tl2br w:val="nil"/>
              <w:tr2bl w:val="nil"/>
            </w:tcBorders>
            <w:shd w:val="clear" w:color="auto" w:fill="auto"/>
            <w:tcMar>
              <w:left w:w="108" w:type="dxa"/>
              <w:right w:w="108" w:type="dxa"/>
            </w:tcMar>
            <w:vAlign w:val="center"/>
          </w:tcPr>
          <w:p w14:paraId="1CB6746B">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kern w:val="2"/>
                <w:sz w:val="24"/>
                <w:szCs w:val="24"/>
                <w:lang w:val="en-US" w:eastAsia="zh-CN" w:bidi="ar-SA"/>
              </w:rPr>
            </w:pPr>
          </w:p>
        </w:tc>
        <w:tc>
          <w:tcPr>
            <w:tcW w:w="3191" w:type="dxa"/>
            <w:tcBorders>
              <w:tl2br w:val="nil"/>
              <w:tr2bl w:val="nil"/>
            </w:tcBorders>
            <w:shd w:val="clear" w:color="auto" w:fill="auto"/>
            <w:tcMar>
              <w:left w:w="108" w:type="dxa"/>
              <w:right w:w="108" w:type="dxa"/>
            </w:tcMar>
            <w:vAlign w:val="center"/>
          </w:tcPr>
          <w:p w14:paraId="12BB541F">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六味地黄丸、补中益气丸</w:t>
            </w:r>
          </w:p>
        </w:tc>
        <w:tc>
          <w:tcPr>
            <w:tcW w:w="2953" w:type="dxa"/>
            <w:tcBorders>
              <w:tl2br w:val="nil"/>
              <w:tr2bl w:val="nil"/>
            </w:tcBorders>
            <w:shd w:val="clear" w:color="auto" w:fill="auto"/>
            <w:tcMar>
              <w:left w:w="108" w:type="dxa"/>
              <w:right w:w="108" w:type="dxa"/>
            </w:tcMar>
            <w:vAlign w:val="center"/>
          </w:tcPr>
          <w:p w14:paraId="1374E3F0">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北京同仁堂、九芝堂</w:t>
            </w:r>
          </w:p>
        </w:tc>
        <w:tc>
          <w:tcPr>
            <w:tcW w:w="5560" w:type="dxa"/>
            <w:tcBorders>
              <w:tl2br w:val="nil"/>
              <w:tr2bl w:val="nil"/>
            </w:tcBorders>
            <w:shd w:val="clear" w:color="auto" w:fill="auto"/>
            <w:tcMar>
              <w:left w:w="108" w:type="dxa"/>
              <w:right w:w="108" w:type="dxa"/>
            </w:tcMar>
            <w:vAlign w:val="center"/>
          </w:tcPr>
          <w:p w14:paraId="2310BDBE">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2022年，六味地黄丸在零售药店终端的销售额19.56亿元。2019年我国补中益气丸市场总销售额达到40亿元。</w:t>
            </w:r>
          </w:p>
        </w:tc>
      </w:tr>
    </w:tbl>
    <w:p w14:paraId="08CB46E0">
      <w:pPr>
        <w:spacing w:before="120" w:after="120" w:line="360" w:lineRule="auto"/>
        <w:outlineLvl w:val="9"/>
        <w:rPr>
          <w:rFonts w:hint="default" w:ascii="Times New Roman" w:hAnsi="Times New Roman" w:eastAsia="黑体" w:cs="Times New Roman"/>
          <w:sz w:val="30"/>
          <w:szCs w:val="30"/>
          <w:lang w:val="en-US" w:eastAsia="zh-CN"/>
        </w:rPr>
      </w:pPr>
      <w:bookmarkStart w:id="78" w:name="_Toc158"/>
    </w:p>
    <w:p w14:paraId="67178749">
      <w:pPr>
        <w:spacing w:before="0" w:after="0" w:line="560" w:lineRule="exact"/>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20589C94">
      <w:pPr>
        <w:pStyle w:val="6"/>
        <w:spacing w:before="0" w:after="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p>
    <w:p w14:paraId="0D57BB8E">
      <w:pPr>
        <w:pStyle w:val="6"/>
        <w:spacing w:before="0" w:after="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中医药健康产业园招商名单</w:t>
      </w:r>
    </w:p>
    <w:p w14:paraId="5E536EE0">
      <w:pPr>
        <w:pStyle w:val="6"/>
        <w:spacing w:before="0" w:after="0" w:line="560" w:lineRule="exact"/>
        <w:jc w:val="center"/>
        <w:outlineLvl w:val="0"/>
        <w:rPr>
          <w:rFonts w:hint="eastAsia" w:ascii="方正小标宋简体" w:hAnsi="方正小标宋简体" w:eastAsia="方正小标宋简体" w:cs="方正小标宋简体"/>
          <w:b w:val="0"/>
          <w:bCs w:val="0"/>
          <w:sz w:val="44"/>
          <w:szCs w:val="44"/>
          <w:lang w:val="en-US" w:eastAsia="zh-CN"/>
        </w:rPr>
      </w:pPr>
    </w:p>
    <w:tbl>
      <w:tblPr>
        <w:tblStyle w:val="19"/>
        <w:tblW w:w="13914" w:type="dxa"/>
        <w:tblInd w:w="96" w:type="dxa"/>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1728"/>
        <w:gridCol w:w="8392"/>
        <w:gridCol w:w="1543"/>
      </w:tblGrid>
      <w:tr w14:paraId="04C18DFA">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354" w:hRule="atLeast"/>
          <w:tblHeader/>
        </w:trPr>
        <w:tc>
          <w:tcPr>
            <w:tcW w:w="2251" w:type="dxa"/>
            <w:tcBorders>
              <w:left w:val="single" w:color="auto" w:sz="4" w:space="0"/>
              <w:bottom w:val="single" w:color="auto" w:sz="4" w:space="0"/>
              <w:right w:val="single" w:color="auto" w:sz="4" w:space="0"/>
            </w:tcBorders>
            <w:shd w:val="clear" w:color="auto" w:fill="auto"/>
            <w:vAlign w:val="center"/>
          </w:tcPr>
          <w:p w14:paraId="3997EC50">
            <w:pPr>
              <w:pageBreakBefore w:val="0"/>
              <w:widowControl/>
              <w:numPr>
                <w:ilvl w:val="255"/>
                <w:numId w:val="0"/>
              </w:numPr>
              <w:kinsoku/>
              <w:wordWrap/>
              <w:overflowPunct/>
              <w:topLinePunct w:val="0"/>
              <w:autoSpaceDE/>
              <w:autoSpaceDN/>
              <w:bidi w:val="0"/>
              <w:adjustRightInd w:val="0"/>
              <w:snapToGrid w:val="0"/>
              <w:spacing w:line="420" w:lineRule="exact"/>
              <w:ind w:firstLine="562" w:firstLineChars="200"/>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领域</w:t>
            </w:r>
          </w:p>
        </w:tc>
        <w:tc>
          <w:tcPr>
            <w:tcW w:w="1728" w:type="dxa"/>
            <w:tcBorders>
              <w:left w:val="single" w:color="auto" w:sz="4" w:space="0"/>
              <w:bottom w:val="single" w:color="auto" w:sz="4" w:space="0"/>
              <w:right w:val="single" w:color="auto" w:sz="4" w:space="0"/>
            </w:tcBorders>
            <w:shd w:val="clear" w:color="auto" w:fill="auto"/>
            <w:vAlign w:val="center"/>
          </w:tcPr>
          <w:p w14:paraId="098CA8E2">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目标企业</w:t>
            </w:r>
          </w:p>
        </w:tc>
        <w:tc>
          <w:tcPr>
            <w:tcW w:w="8392" w:type="dxa"/>
            <w:tcBorders>
              <w:left w:val="single" w:color="auto" w:sz="4" w:space="0"/>
              <w:bottom w:val="single" w:color="auto" w:sz="4" w:space="0"/>
              <w:right w:val="single" w:color="auto" w:sz="4" w:space="0"/>
            </w:tcBorders>
            <w:shd w:val="clear" w:color="auto" w:fill="auto"/>
            <w:vAlign w:val="center"/>
          </w:tcPr>
          <w:p w14:paraId="7DC4FEA9">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竞争优势</w:t>
            </w:r>
          </w:p>
        </w:tc>
        <w:tc>
          <w:tcPr>
            <w:tcW w:w="1543" w:type="dxa"/>
            <w:tcBorders>
              <w:left w:val="single" w:color="auto" w:sz="4" w:space="0"/>
              <w:bottom w:val="single" w:color="auto" w:sz="4" w:space="0"/>
              <w:right w:val="single" w:color="auto" w:sz="4" w:space="0"/>
            </w:tcBorders>
            <w:shd w:val="clear" w:color="auto" w:fill="auto"/>
            <w:vAlign w:val="center"/>
          </w:tcPr>
          <w:p w14:paraId="42510DEC">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所在省</w:t>
            </w:r>
          </w:p>
        </w:tc>
      </w:tr>
      <w:tr w14:paraId="5FAB8653">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51" w:type="dxa"/>
            <w:vMerge w:val="restart"/>
            <w:tcBorders>
              <w:top w:val="single" w:color="auto" w:sz="4" w:space="0"/>
              <w:left w:val="single" w:color="auto" w:sz="4" w:space="0"/>
              <w:right w:val="single" w:color="auto" w:sz="4" w:space="0"/>
            </w:tcBorders>
            <w:shd w:val="clear" w:color="auto" w:fill="auto"/>
            <w:vAlign w:val="center"/>
          </w:tcPr>
          <w:p w14:paraId="6371D8A5">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大健康投资公司</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170FAE9">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北京同仁堂</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36D8672">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 xml:space="preserve">同仁堂品牌始创于1669年(清康熙八年)。自1723年(清雍正元年)为清宫供御药，历经八代皇帝长达188年。目前优势产品有安宫牛黄丸（北京同仁堂在安宫牛黄丸中的市场占有率达到 54%）、同仁大活络丸（同仁大活络丸城市零售药店终端销售额达到1亿元）、六味地黄丸（六味地黄丸销售收入为 4.8 亿元）、牛黄解毒片（销售额达到 4.42亿元）等。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4B8EE6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北京</w:t>
            </w:r>
          </w:p>
        </w:tc>
      </w:tr>
      <w:tr w14:paraId="527FEA96">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51" w:type="dxa"/>
            <w:vMerge w:val="continue"/>
            <w:tcBorders>
              <w:left w:val="single" w:color="auto" w:sz="4" w:space="0"/>
              <w:bottom w:val="single" w:color="auto" w:sz="4" w:space="0"/>
              <w:right w:val="single" w:color="auto" w:sz="4" w:space="0"/>
            </w:tcBorders>
            <w:shd w:val="clear" w:color="auto" w:fill="auto"/>
            <w:vAlign w:val="center"/>
          </w:tcPr>
          <w:p w14:paraId="669A9CBB">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12EEA3D6">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玖兆康乾投资管理有限公司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B9CA5E9">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玖兆康乾投资管理有限公司是经过中国基金业协会备案的私募股权投资基金，登记日2017年6月5日，登记编号为P1063018，公司在北京、南京、成都、西安、大连、深圳、上海等地设有分支机构，目前旗下管理三十支基金，实际管理资金规模超过100亿元人民币。专注于高端装备制造、人工智能大数据、生物医药大健康、节能环保新材料、新一代信息技术、军民融合等高成长的新兴产业的投资及并购，核心优势是“专业精深+价值投资+全面赋能”。前期筛选优质的投资项目，后续为被投资企业提供专业的、持续、管家式的投行服务，全面赋能。</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49F88CF">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北京</w:t>
            </w:r>
          </w:p>
        </w:tc>
      </w:tr>
      <w:tr w14:paraId="4CC946EB">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2251" w:type="dxa"/>
            <w:vMerge w:val="restart"/>
            <w:tcBorders>
              <w:top w:val="single" w:color="auto" w:sz="4" w:space="0"/>
              <w:left w:val="single" w:color="auto" w:sz="4" w:space="0"/>
              <w:right w:val="single" w:color="auto" w:sz="4" w:space="0"/>
            </w:tcBorders>
            <w:shd w:val="clear" w:color="auto" w:fill="auto"/>
            <w:vAlign w:val="center"/>
          </w:tcPr>
          <w:p w14:paraId="15A25D0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42A3F97E">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中药饮片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45AF992D">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上海市药材有限公司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648EC6D4">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市药材有限公司成立于1955年，是上海医药集团股份有限公司的全资子公司。六十余年的潜心耕耘，已发展成为一家经营门类涵盖中药材种植，中药饮片、中药保健品制造和分销，中医医疗的大型中药企业，是享誉中国中药业的著名品牌企业。目前优势产品有西红花，羚羊角粉，天然麝香，三七粉，野山人参，冬虫夏草，枫斗，珍珠粉，丹参片，萆薢分清丸，藿胆滴丸，复方紫荆消伤巴布膏，六神丸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053C1F5">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w:t>
            </w:r>
          </w:p>
        </w:tc>
      </w:tr>
      <w:tr w14:paraId="31667FCB">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251" w:type="dxa"/>
            <w:vMerge w:val="continue"/>
            <w:tcBorders>
              <w:left w:val="single" w:color="auto" w:sz="4" w:space="0"/>
              <w:right w:val="single" w:color="auto" w:sz="4" w:space="0"/>
            </w:tcBorders>
            <w:shd w:val="clear" w:color="auto" w:fill="auto"/>
            <w:vAlign w:val="center"/>
          </w:tcPr>
          <w:p w14:paraId="0ACF7EC4">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78DA5E48">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厦门中药厂有限公司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78AF4A9F">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厦门中药厂有限公司是上海医药直属企业,其前身厦门中药厂是由具有近400年历史的厦门正和号药铺、怀德居药铺、寿生堂、高峰药房、一贴灵等老字号药铺于1965年合并而成。2002年9月，厦门中药厂整体改制变更为厦门中药厂有限公司，公司为一家专注于中药消炎止痛领域研发、生产和销售的高新技术企业和自主创新型示范企业，从事中药材、中成药、化学药制剂、生物制品的加工生产，以中药的研发、生产和销售为主营业务。优势产品有八宝丹"新癀片、八宝丹、肾舒颗粒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B4A5EDA">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福建</w:t>
            </w:r>
          </w:p>
        </w:tc>
      </w:tr>
      <w:tr w14:paraId="7A7E0247">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51" w:type="dxa"/>
            <w:vMerge w:val="continue"/>
            <w:tcBorders>
              <w:left w:val="single" w:color="auto" w:sz="4" w:space="0"/>
              <w:right w:val="single" w:color="auto" w:sz="4" w:space="0"/>
            </w:tcBorders>
            <w:shd w:val="clear" w:color="auto" w:fill="auto"/>
            <w:vAlign w:val="center"/>
          </w:tcPr>
          <w:p w14:paraId="0A076D1D">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26390A2C">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盛实百草</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1BA3EE1A">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盛实百草专注于优质中药材规范化种植和中药饮片的生产经营。成员公司有盛实百草药业有限公司、吉林林村中药开发有限公司、白山林村中药开发有限公司和北京盛实中医诊所有限公司，其中盛实百草药业有限公司是核心业务平台。公司经营人参、甘草、半夏、细辛、麻黄等100余种大宗中药材产品，其中:人参单品种出口连续多年位居全国第1名,甘草、麻黄、半夏、细辛等品种出口位居全国前3名。</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3D0EE4F1">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天津</w:t>
            </w:r>
          </w:p>
        </w:tc>
      </w:tr>
      <w:tr w14:paraId="39B0096E">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251" w:type="dxa"/>
            <w:vMerge w:val="continue"/>
            <w:tcBorders>
              <w:left w:val="single" w:color="auto" w:sz="4" w:space="0"/>
              <w:right w:val="single" w:color="auto" w:sz="4" w:space="0"/>
            </w:tcBorders>
            <w:shd w:val="clear" w:color="auto" w:fill="auto"/>
            <w:vAlign w:val="center"/>
          </w:tcPr>
          <w:p w14:paraId="46102148">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2200D4C9">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红日药业</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572CD283">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是最早的中药配方颗粒国家试点企业之一，中药配方颗粒板块建有北京、天津、河北、河南、湖北、甘肃、重庆、山东8个智能制造生产基地。目前优势品种有血必净注射液</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648FF037">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天津</w:t>
            </w:r>
          </w:p>
        </w:tc>
      </w:tr>
      <w:tr w14:paraId="2DF156B2">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251" w:type="dxa"/>
            <w:vMerge w:val="continue"/>
            <w:tcBorders>
              <w:left w:val="single" w:color="auto" w:sz="4" w:space="0"/>
              <w:right w:val="single" w:color="auto" w:sz="4" w:space="0"/>
            </w:tcBorders>
            <w:shd w:val="clear" w:color="auto" w:fill="auto"/>
            <w:vAlign w:val="center"/>
          </w:tcPr>
          <w:p w14:paraId="52A09080">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6DAAC1B0">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雷允上药业</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629007DD">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主要从事现代化中成药与天然植物药的研发、生产与销售，近年来，公司努力打造上海国有老字号药企现代化发展的标杆，与全国多家知名医院联合推动经典名方医院制剂的产学研合作和产业化发展，并承担了上海中药配方颗粒本地化生产</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C7811B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w:t>
            </w:r>
          </w:p>
        </w:tc>
      </w:tr>
      <w:tr w14:paraId="0E991B10">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22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2FF73">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29710351">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6D2E0BA7">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77AFB398">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4B5C3C5F">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7D4AE88E">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1107312F">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49BD96C8">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266D63AF">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4296ECF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bCs/>
                <w:kern w:val="2"/>
                <w:sz w:val="28"/>
                <w:szCs w:val="28"/>
                <w:lang w:val="en-US" w:eastAsia="zh-CN" w:bidi="ar-SA"/>
              </w:rPr>
            </w:pPr>
          </w:p>
          <w:p w14:paraId="03F68CDC">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中成药</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427CE1A2">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康缘药业</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4077D297">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是一家致力于现代中药研发、生产、销售的大型中药工业企业。中药创新能力居全国前列。优势品种主要有金振口服液、热毒宁注射液、杏贝止咳颗粒、桂枝茯苓胶囊等。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C93C5E3">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江苏</w:t>
            </w:r>
          </w:p>
        </w:tc>
      </w:tr>
      <w:tr w14:paraId="65DC6B70">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B5461">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76C12974">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福建同春药业股份有限公司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06380866">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主要经营中药材、中成药、中药饮片、化学原料药及制剂、生化药品、医疗器械、化学试剂、玻璃器皿的批发、零售、生产、开发、服务等，主营2万多个品规。2022年3月，入选第六批“福建老字号”认定名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259E5B5">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福建</w:t>
            </w:r>
          </w:p>
        </w:tc>
      </w:tr>
      <w:tr w14:paraId="427EFE8C">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07317">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B309FF5">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上海和黄</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5D8DB1B8">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旗下产品74个，拥有丸剂、片剂、注射剂等剂型,“上药”牌注册商标及麝香保心丸、胆宁片、正气片、生脉注射液等系列现代中药产品</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65D1185">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w:t>
            </w:r>
          </w:p>
        </w:tc>
      </w:tr>
      <w:tr w14:paraId="35B3977E">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9CDF0">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38355D47">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天士力医药</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742CB8B8">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是现代中药国际化企业，致力于发展成为中国领先，具有全球影响力的医药及健康服务集成方案提供者，目前优势品种有复方丹参滴丸、养血清脑颗粒(丸)、芪参益气滴丸等。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728A9B3">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天津</w:t>
            </w:r>
          </w:p>
        </w:tc>
      </w:tr>
      <w:tr w14:paraId="1A2090C0">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1829C">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C46051C">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上海凯宝</w:t>
            </w:r>
          </w:p>
          <w:p w14:paraId="0FC80653">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药业</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0120CA4D">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公司主导产品痰热清注射液是独家专利产品,国家中药保护产品,属国家中药二类新药。</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F865032">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上海</w:t>
            </w:r>
          </w:p>
        </w:tc>
      </w:tr>
      <w:tr w14:paraId="2AFD3812">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2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A7D51">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C722851">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云南白药</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7952CBD">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是云南省十户重点大型企业、云南省百强企业，也是首批国家创新型企业，云南白药商标被评为中国驰名商标，是公众喜爱的中华老字号品牌，目前优势品种云南白药膏、云南白药喷雾剂、云南白药牙膏等。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80CC3B4">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云南</w:t>
            </w:r>
          </w:p>
        </w:tc>
      </w:tr>
      <w:tr w14:paraId="0E1F602C">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2251" w:type="dxa"/>
            <w:vMerge w:val="restart"/>
            <w:tcBorders>
              <w:top w:val="single" w:color="auto" w:sz="4" w:space="0"/>
              <w:left w:val="single" w:color="auto" w:sz="4" w:space="0"/>
              <w:right w:val="single" w:color="auto" w:sz="4" w:space="0"/>
            </w:tcBorders>
            <w:shd w:val="clear" w:color="auto" w:fill="auto"/>
            <w:vAlign w:val="center"/>
          </w:tcPr>
          <w:p w14:paraId="01B5994D">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大健康产品</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4113B66E">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江中药业</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54DD48A5">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大健康业务主要包括康复营养的初元系列产品、高端滋补的参灵草系列产品、胃肠健康系列产品等。2022年大健康业务营业收入4.09亿元，同比增长66.99%，目前优势品种有江中健胃消食片、草珊瑚含片、参灵草等。</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67B9E135">
            <w:pPr>
              <w:pageBreakBefore w:val="0"/>
              <w:widowControl/>
              <w:numPr>
                <w:ilvl w:val="255"/>
                <w:numId w:val="0"/>
              </w:numPr>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江西</w:t>
            </w:r>
          </w:p>
        </w:tc>
      </w:tr>
      <w:tr w14:paraId="47C85928">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251" w:type="dxa"/>
            <w:vMerge w:val="continue"/>
            <w:tcBorders>
              <w:left w:val="single" w:color="auto" w:sz="4" w:space="0"/>
              <w:right w:val="single" w:color="auto" w:sz="4" w:space="0"/>
            </w:tcBorders>
            <w:shd w:val="clear" w:color="auto" w:fill="auto"/>
            <w:vAlign w:val="center"/>
          </w:tcPr>
          <w:p w14:paraId="12C25C3B">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FBF4B56">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浙江寿仙谷医药</w:t>
            </w:r>
          </w:p>
          <w:p w14:paraId="49D2CCE5">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11AAB07A">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寿仙谷药号始建于清宣统元年（1909年），1997年成立浙江寿仙谷医药股份有限公司。2017年5月，寿仙谷（603896）在上海证券交易所主板成功上市，成为中国灵芝、铁皮石斛行业第一股。</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8E2162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浙江</w:t>
            </w:r>
          </w:p>
        </w:tc>
      </w:tr>
      <w:tr w14:paraId="31FAEB5A">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51" w:type="dxa"/>
            <w:vMerge w:val="continue"/>
            <w:tcBorders>
              <w:left w:val="single" w:color="auto" w:sz="4" w:space="0"/>
              <w:right w:val="single" w:color="auto" w:sz="4" w:space="0"/>
            </w:tcBorders>
            <w:shd w:val="clear" w:color="auto" w:fill="auto"/>
            <w:vAlign w:val="center"/>
          </w:tcPr>
          <w:p w14:paraId="570B8738">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BF6467B">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仙乐健康</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3CDF006">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仙乐健康是全球领先的营养健康食品合同研发生产商，拥有全剂型平台开发能力，从产品形态分类，主要有软胶囊、营养软糖、饮品等核心剂型，片剂、粉剂、硬胶囊等基础剂型，以及素怡植物基软胶囊、爆珠、维浆果、萃优酪等创新剂型</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38430D2">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广东</w:t>
            </w:r>
          </w:p>
        </w:tc>
      </w:tr>
      <w:tr w14:paraId="4818E152">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51" w:type="dxa"/>
            <w:vMerge w:val="continue"/>
            <w:tcBorders>
              <w:left w:val="single" w:color="auto" w:sz="4" w:space="0"/>
              <w:right w:val="single" w:color="auto" w:sz="4" w:space="0"/>
            </w:tcBorders>
            <w:shd w:val="clear" w:color="auto" w:fill="auto"/>
            <w:vAlign w:val="center"/>
          </w:tcPr>
          <w:p w14:paraId="7364EE75">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CAF3B1E">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百合股份</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9D5A356">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专业从事营养保健食品的研发、生产和销售，公司丰富、全面的产品结构可以满足家庭、婴幼/儿童/青少年、中老年人、高端人士等不同类型消费群体的多样化健康需求。</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484FBC2">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山东</w:t>
            </w:r>
          </w:p>
        </w:tc>
      </w:tr>
      <w:tr w14:paraId="53C0697E">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51" w:type="dxa"/>
            <w:vMerge w:val="continue"/>
            <w:tcBorders>
              <w:left w:val="single" w:color="auto" w:sz="4" w:space="0"/>
              <w:right w:val="single" w:color="auto" w:sz="4" w:space="0"/>
            </w:tcBorders>
            <w:shd w:val="clear" w:color="auto" w:fill="auto"/>
            <w:vAlign w:val="center"/>
          </w:tcPr>
          <w:p w14:paraId="2CC9A052">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292200B7">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山格农业</w:t>
            </w:r>
          </w:p>
          <w:p w14:paraId="6823D729">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集团</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24E5F2DE">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公司成立全省首个淮山产业技术研究会，产学研结合，使淮山产量和品质大为提升，并出产淮山精装、淮山面线、淮山营养粥等新产品</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141AC44">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福建</w:t>
            </w:r>
          </w:p>
        </w:tc>
      </w:tr>
      <w:tr w14:paraId="52ACD990">
        <w:tblPrEx>
          <w:tblBorders>
            <w:top w:val="single" w:color="auto" w:sz="4" w:space="0"/>
            <w:left w:val="single" w:color="E7E6E6" w:sz="4" w:space="0"/>
            <w:bottom w:val="single" w:color="auto" w:sz="4" w:space="0"/>
            <w:right w:val="single" w:color="E7E6E6"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51" w:type="dxa"/>
            <w:vMerge w:val="continue"/>
            <w:tcBorders>
              <w:left w:val="single" w:color="auto" w:sz="4" w:space="0"/>
              <w:bottom w:val="single" w:color="auto" w:sz="4" w:space="0"/>
              <w:right w:val="single" w:color="auto" w:sz="4" w:space="0"/>
            </w:tcBorders>
            <w:shd w:val="clear" w:color="auto" w:fill="auto"/>
            <w:vAlign w:val="center"/>
          </w:tcPr>
          <w:p w14:paraId="536BCF71">
            <w:pPr>
              <w:pageBreakBefore w:val="0"/>
              <w:widowControl/>
              <w:numPr>
                <w:ilvl w:val="255"/>
                <w:numId w:val="0"/>
              </w:numPr>
              <w:kinsoku/>
              <w:wordWrap/>
              <w:overflowPunct/>
              <w:topLinePunct w:val="0"/>
              <w:autoSpaceDE/>
              <w:autoSpaceDN/>
              <w:bidi w:val="0"/>
              <w:adjustRightInd w:val="0"/>
              <w:snapToGrid w:val="0"/>
              <w:spacing w:line="420" w:lineRule="exact"/>
              <w:ind w:firstLine="560" w:firstLineChars="200"/>
              <w:jc w:val="left"/>
              <w:textAlignment w:val="auto"/>
              <w:rPr>
                <w:rFonts w:hint="eastAsia" w:ascii="仿宋" w:hAnsi="仿宋" w:eastAsia="仿宋" w:cs="仿宋"/>
                <w:kern w:val="2"/>
                <w:sz w:val="28"/>
                <w:szCs w:val="28"/>
                <w:lang w:val="en-US" w:eastAsia="zh-CN" w:bidi="ar-SA"/>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31EF06D">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温县益生情山药</w:t>
            </w:r>
          </w:p>
          <w:p w14:paraId="27CBF95E">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有限公司</w:t>
            </w:r>
          </w:p>
        </w:tc>
        <w:tc>
          <w:tcPr>
            <w:tcW w:w="8392" w:type="dxa"/>
            <w:tcBorders>
              <w:top w:val="single" w:color="auto" w:sz="4" w:space="0"/>
              <w:left w:val="single" w:color="auto" w:sz="4" w:space="0"/>
              <w:bottom w:val="single" w:color="auto" w:sz="4" w:space="0"/>
              <w:right w:val="single" w:color="auto" w:sz="4" w:space="0"/>
            </w:tcBorders>
            <w:shd w:val="clear" w:color="auto" w:fill="auto"/>
            <w:vAlign w:val="center"/>
          </w:tcPr>
          <w:p w14:paraId="6039C2AA">
            <w:pPr>
              <w:pageBreakBefore w:val="0"/>
              <w:widowControl/>
              <w:numPr>
                <w:ilvl w:val="255"/>
                <w:numId w:val="0"/>
              </w:numPr>
              <w:kinsoku/>
              <w:wordWrap/>
              <w:overflowPunct/>
              <w:topLinePunct w:val="0"/>
              <w:autoSpaceDE/>
              <w:autoSpaceDN/>
              <w:bidi w:val="0"/>
              <w:adjustRightInd w:val="0"/>
              <w:snapToGrid w:val="0"/>
              <w:spacing w:line="4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县益生情山药有限公司成立于2014年11月，一直以来以铁棍山药的种植销售为基础，专注于铁棍山药优质深加工产品的研发、生产和推广，2017年中秋节推出的“山药牡丹月饼”属国内首创，深受消费者喜爱，出现疯抢状态，严重供不应求。</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1C7CED3">
            <w:pPr>
              <w:pageBreakBefore w:val="0"/>
              <w:widowControl/>
              <w:numPr>
                <w:ilvl w:val="255"/>
                <w:numId w:val="0"/>
              </w:numPr>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河南</w:t>
            </w:r>
          </w:p>
        </w:tc>
      </w:tr>
      <w:bookmarkEnd w:id="78"/>
    </w:tbl>
    <w:p w14:paraId="7416C1E6">
      <w:pPr>
        <w:ind w:firstLine="0" w:firstLineChars="0"/>
        <w:rPr>
          <w:rFonts w:hint="default" w:ascii="Times New Roman" w:hAnsi="Times New Roman" w:eastAsia="仿宋" w:cs="Times New Roman"/>
          <w:b/>
          <w:sz w:val="30"/>
          <w:szCs w:val="30"/>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0F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F46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CBCE0">
                          <w:pPr>
                            <w:pStyle w:val="13"/>
                            <w:rPr>
                              <w:rFonts w:hint="eastAsia"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r>
                            <w:rPr>
                              <w:rFonts w:hint="eastAsia" w:ascii="Times New Roman" w:hAnsi="Times New Roman" w:cs="Times New Roman"/>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8CBCE0">
                    <w:pPr>
                      <w:pStyle w:val="13"/>
                      <w:rPr>
                        <w:rFonts w:hint="eastAsia"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r>
                      <w:rPr>
                        <w:rFonts w:hint="eastAsia" w:ascii="Times New Roman" w:hAnsi="Times New Roman" w:cs="Times New Roman"/>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8F3D">
    <w:pPr>
      <w:pStyle w:val="14"/>
      <w:pBdr>
        <w:top w:val="none" w:color="auto" w:sz="0" w:space="0"/>
        <w:left w:val="none" w:color="auto" w:sz="0" w:space="0"/>
        <w:bottom w:val="none" w:color="auto" w:sz="0" w:space="1"/>
        <w:right w:val="none" w:color="auto" w:sz="0" w:space="0"/>
        <w:between w:val="none" w:color="auto" w:sz="0" w:space="0"/>
      </w:pBdr>
      <w:tabs>
        <w:tab w:val="left" w:pos="11950"/>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DgyZjJjNjkzYTVkZDMwNWFhODRiMzEzZTI0MDgifQ=="/>
  </w:docVars>
  <w:rsids>
    <w:rsidRoot w:val="005036E2"/>
    <w:rsid w:val="000213E0"/>
    <w:rsid w:val="00053033"/>
    <w:rsid w:val="000642DF"/>
    <w:rsid w:val="00072846"/>
    <w:rsid w:val="00086CF4"/>
    <w:rsid w:val="000937B4"/>
    <w:rsid w:val="000D63E7"/>
    <w:rsid w:val="000E7D66"/>
    <w:rsid w:val="00121A3D"/>
    <w:rsid w:val="00123A2D"/>
    <w:rsid w:val="001337BA"/>
    <w:rsid w:val="001471C3"/>
    <w:rsid w:val="00155267"/>
    <w:rsid w:val="00183B11"/>
    <w:rsid w:val="001A3BC4"/>
    <w:rsid w:val="001B5C3B"/>
    <w:rsid w:val="001C21B8"/>
    <w:rsid w:val="001C612C"/>
    <w:rsid w:val="001D1F63"/>
    <w:rsid w:val="001E100E"/>
    <w:rsid w:val="001E5BCD"/>
    <w:rsid w:val="001F09F3"/>
    <w:rsid w:val="002161C6"/>
    <w:rsid w:val="0022554B"/>
    <w:rsid w:val="002275EF"/>
    <w:rsid w:val="00242283"/>
    <w:rsid w:val="002460B3"/>
    <w:rsid w:val="002546C2"/>
    <w:rsid w:val="00256CED"/>
    <w:rsid w:val="002F003F"/>
    <w:rsid w:val="002F70DF"/>
    <w:rsid w:val="00320625"/>
    <w:rsid w:val="00326B40"/>
    <w:rsid w:val="00336510"/>
    <w:rsid w:val="003B1AEB"/>
    <w:rsid w:val="003C7F24"/>
    <w:rsid w:val="003D4A68"/>
    <w:rsid w:val="003E209C"/>
    <w:rsid w:val="00434EE5"/>
    <w:rsid w:val="004434EC"/>
    <w:rsid w:val="00481958"/>
    <w:rsid w:val="00495C29"/>
    <w:rsid w:val="004C03D4"/>
    <w:rsid w:val="005036E2"/>
    <w:rsid w:val="005722E2"/>
    <w:rsid w:val="0058789D"/>
    <w:rsid w:val="00591E44"/>
    <w:rsid w:val="006240E9"/>
    <w:rsid w:val="006323B3"/>
    <w:rsid w:val="00641CDD"/>
    <w:rsid w:val="00643C27"/>
    <w:rsid w:val="0065774A"/>
    <w:rsid w:val="00672B45"/>
    <w:rsid w:val="00683A8F"/>
    <w:rsid w:val="00683BC5"/>
    <w:rsid w:val="006B68C2"/>
    <w:rsid w:val="006D147A"/>
    <w:rsid w:val="006D23F3"/>
    <w:rsid w:val="007064D4"/>
    <w:rsid w:val="00753871"/>
    <w:rsid w:val="00774705"/>
    <w:rsid w:val="007A520C"/>
    <w:rsid w:val="007B0280"/>
    <w:rsid w:val="007C1295"/>
    <w:rsid w:val="007C775F"/>
    <w:rsid w:val="007D5C29"/>
    <w:rsid w:val="007F4581"/>
    <w:rsid w:val="00806D1C"/>
    <w:rsid w:val="00812046"/>
    <w:rsid w:val="0082091B"/>
    <w:rsid w:val="00831747"/>
    <w:rsid w:val="00887313"/>
    <w:rsid w:val="008F2D72"/>
    <w:rsid w:val="00941C1F"/>
    <w:rsid w:val="009A1057"/>
    <w:rsid w:val="009D1E2E"/>
    <w:rsid w:val="00A00142"/>
    <w:rsid w:val="00A46F16"/>
    <w:rsid w:val="00A51DAD"/>
    <w:rsid w:val="00A52520"/>
    <w:rsid w:val="00A57232"/>
    <w:rsid w:val="00A71282"/>
    <w:rsid w:val="00A80BB6"/>
    <w:rsid w:val="00A86B98"/>
    <w:rsid w:val="00AB5E3F"/>
    <w:rsid w:val="00B537A5"/>
    <w:rsid w:val="00B847B2"/>
    <w:rsid w:val="00BB6245"/>
    <w:rsid w:val="00C116BE"/>
    <w:rsid w:val="00C36718"/>
    <w:rsid w:val="00C4317C"/>
    <w:rsid w:val="00C52862"/>
    <w:rsid w:val="00C76871"/>
    <w:rsid w:val="00C84E0C"/>
    <w:rsid w:val="00C945ED"/>
    <w:rsid w:val="00CA7D61"/>
    <w:rsid w:val="00D15E4C"/>
    <w:rsid w:val="00D2354E"/>
    <w:rsid w:val="00D314EB"/>
    <w:rsid w:val="00D33B95"/>
    <w:rsid w:val="00D57A36"/>
    <w:rsid w:val="00DD6305"/>
    <w:rsid w:val="00DD7DC0"/>
    <w:rsid w:val="00DE5D34"/>
    <w:rsid w:val="00DF28EE"/>
    <w:rsid w:val="00E412E2"/>
    <w:rsid w:val="00E44651"/>
    <w:rsid w:val="00E53354"/>
    <w:rsid w:val="00E82A7E"/>
    <w:rsid w:val="00F34B44"/>
    <w:rsid w:val="00F3622C"/>
    <w:rsid w:val="00F36A0A"/>
    <w:rsid w:val="00F50E81"/>
    <w:rsid w:val="00F54802"/>
    <w:rsid w:val="00F55D4F"/>
    <w:rsid w:val="00F56E86"/>
    <w:rsid w:val="00F65721"/>
    <w:rsid w:val="00F76EF2"/>
    <w:rsid w:val="00FE4E1E"/>
    <w:rsid w:val="00FF088C"/>
    <w:rsid w:val="00FF2C92"/>
    <w:rsid w:val="00FF31E0"/>
    <w:rsid w:val="01951FDA"/>
    <w:rsid w:val="01DE2B49"/>
    <w:rsid w:val="02036D85"/>
    <w:rsid w:val="02222E5A"/>
    <w:rsid w:val="02582477"/>
    <w:rsid w:val="025832D3"/>
    <w:rsid w:val="029B20BA"/>
    <w:rsid w:val="02A2407D"/>
    <w:rsid w:val="02C1356F"/>
    <w:rsid w:val="02DC5549"/>
    <w:rsid w:val="03443858"/>
    <w:rsid w:val="037E320E"/>
    <w:rsid w:val="03A75F1F"/>
    <w:rsid w:val="03B86720"/>
    <w:rsid w:val="040D1AC1"/>
    <w:rsid w:val="044F6D4D"/>
    <w:rsid w:val="04626346"/>
    <w:rsid w:val="04785F01"/>
    <w:rsid w:val="04AA4F2D"/>
    <w:rsid w:val="04BB2717"/>
    <w:rsid w:val="04C01130"/>
    <w:rsid w:val="0520467D"/>
    <w:rsid w:val="0535219B"/>
    <w:rsid w:val="058A7C48"/>
    <w:rsid w:val="058E30C9"/>
    <w:rsid w:val="05B86A8F"/>
    <w:rsid w:val="05BE4180"/>
    <w:rsid w:val="05F31E50"/>
    <w:rsid w:val="05FE7618"/>
    <w:rsid w:val="066659C0"/>
    <w:rsid w:val="06734B80"/>
    <w:rsid w:val="06915006"/>
    <w:rsid w:val="06AA1646"/>
    <w:rsid w:val="06B42D00"/>
    <w:rsid w:val="06C762AF"/>
    <w:rsid w:val="06E10BF3"/>
    <w:rsid w:val="06E223E6"/>
    <w:rsid w:val="06FD269B"/>
    <w:rsid w:val="077E1A2E"/>
    <w:rsid w:val="07AD5A46"/>
    <w:rsid w:val="07EA7A64"/>
    <w:rsid w:val="083B16CD"/>
    <w:rsid w:val="0854453D"/>
    <w:rsid w:val="088515DF"/>
    <w:rsid w:val="0895521A"/>
    <w:rsid w:val="08AE0CB1"/>
    <w:rsid w:val="08B14121"/>
    <w:rsid w:val="08E22039"/>
    <w:rsid w:val="08F75774"/>
    <w:rsid w:val="08FD1499"/>
    <w:rsid w:val="09242161"/>
    <w:rsid w:val="092B3E10"/>
    <w:rsid w:val="095D032C"/>
    <w:rsid w:val="09641894"/>
    <w:rsid w:val="09815806"/>
    <w:rsid w:val="099F56D4"/>
    <w:rsid w:val="09B87E7B"/>
    <w:rsid w:val="0A2A602B"/>
    <w:rsid w:val="0A636530"/>
    <w:rsid w:val="0AA30A5C"/>
    <w:rsid w:val="0AA448C8"/>
    <w:rsid w:val="0AB91C5C"/>
    <w:rsid w:val="0B015613"/>
    <w:rsid w:val="0B1A23BD"/>
    <w:rsid w:val="0B3C19E4"/>
    <w:rsid w:val="0B3F2982"/>
    <w:rsid w:val="0B726726"/>
    <w:rsid w:val="0B786439"/>
    <w:rsid w:val="0BA650B0"/>
    <w:rsid w:val="0BBD2D9A"/>
    <w:rsid w:val="0BC47C2C"/>
    <w:rsid w:val="0BDE6D0C"/>
    <w:rsid w:val="0BED517B"/>
    <w:rsid w:val="0C3B1C9C"/>
    <w:rsid w:val="0C797D72"/>
    <w:rsid w:val="0C957B70"/>
    <w:rsid w:val="0CBA4CF4"/>
    <w:rsid w:val="0CE916F8"/>
    <w:rsid w:val="0CEB1EAC"/>
    <w:rsid w:val="0D057871"/>
    <w:rsid w:val="0D1D07F8"/>
    <w:rsid w:val="0D5757F9"/>
    <w:rsid w:val="0D59288C"/>
    <w:rsid w:val="0D8B617E"/>
    <w:rsid w:val="0D920FD8"/>
    <w:rsid w:val="0DB04549"/>
    <w:rsid w:val="0DBA6B0D"/>
    <w:rsid w:val="0DBC1BE9"/>
    <w:rsid w:val="0DBE4FF5"/>
    <w:rsid w:val="0DF6572B"/>
    <w:rsid w:val="0E167859"/>
    <w:rsid w:val="0E2645FB"/>
    <w:rsid w:val="0E4B1F3E"/>
    <w:rsid w:val="0E685970"/>
    <w:rsid w:val="0E9F1FF3"/>
    <w:rsid w:val="0EA224A6"/>
    <w:rsid w:val="0EBC1190"/>
    <w:rsid w:val="0EF204D2"/>
    <w:rsid w:val="0F2E6E5E"/>
    <w:rsid w:val="0F592257"/>
    <w:rsid w:val="0FA52567"/>
    <w:rsid w:val="0FA91D3E"/>
    <w:rsid w:val="0FAB14DE"/>
    <w:rsid w:val="0FAE1E7F"/>
    <w:rsid w:val="0FF666B6"/>
    <w:rsid w:val="101A2510"/>
    <w:rsid w:val="104B4477"/>
    <w:rsid w:val="1087681D"/>
    <w:rsid w:val="10881409"/>
    <w:rsid w:val="10BA607F"/>
    <w:rsid w:val="10D719D6"/>
    <w:rsid w:val="11525D89"/>
    <w:rsid w:val="115455AE"/>
    <w:rsid w:val="116815BD"/>
    <w:rsid w:val="11776FFC"/>
    <w:rsid w:val="11D97F2A"/>
    <w:rsid w:val="1211524D"/>
    <w:rsid w:val="1234201A"/>
    <w:rsid w:val="125F420A"/>
    <w:rsid w:val="1276160D"/>
    <w:rsid w:val="12810624"/>
    <w:rsid w:val="12B62688"/>
    <w:rsid w:val="12C21719"/>
    <w:rsid w:val="12F21CDF"/>
    <w:rsid w:val="12F92BFB"/>
    <w:rsid w:val="12FC3EBF"/>
    <w:rsid w:val="130152C1"/>
    <w:rsid w:val="13336B24"/>
    <w:rsid w:val="1350273E"/>
    <w:rsid w:val="135675BA"/>
    <w:rsid w:val="13735A02"/>
    <w:rsid w:val="13960E2B"/>
    <w:rsid w:val="13AE24BE"/>
    <w:rsid w:val="13B92726"/>
    <w:rsid w:val="13C059D5"/>
    <w:rsid w:val="13E40E6B"/>
    <w:rsid w:val="140475DE"/>
    <w:rsid w:val="14274757"/>
    <w:rsid w:val="143F0797"/>
    <w:rsid w:val="14763522"/>
    <w:rsid w:val="149A01A4"/>
    <w:rsid w:val="1550496B"/>
    <w:rsid w:val="15777726"/>
    <w:rsid w:val="15DD5B72"/>
    <w:rsid w:val="15F35BAD"/>
    <w:rsid w:val="1618304E"/>
    <w:rsid w:val="162F211D"/>
    <w:rsid w:val="163A4925"/>
    <w:rsid w:val="165F2E27"/>
    <w:rsid w:val="16CF34A6"/>
    <w:rsid w:val="16DA4A2B"/>
    <w:rsid w:val="171F3818"/>
    <w:rsid w:val="176250BD"/>
    <w:rsid w:val="17A403CF"/>
    <w:rsid w:val="17A97104"/>
    <w:rsid w:val="17B45A93"/>
    <w:rsid w:val="17CA480C"/>
    <w:rsid w:val="17D7360B"/>
    <w:rsid w:val="181218D2"/>
    <w:rsid w:val="182B0373"/>
    <w:rsid w:val="18711A77"/>
    <w:rsid w:val="187A3B4C"/>
    <w:rsid w:val="18BD171A"/>
    <w:rsid w:val="18C14466"/>
    <w:rsid w:val="18C80477"/>
    <w:rsid w:val="193A0200"/>
    <w:rsid w:val="196920BE"/>
    <w:rsid w:val="197D395D"/>
    <w:rsid w:val="19A846E9"/>
    <w:rsid w:val="19B02D1A"/>
    <w:rsid w:val="19C90922"/>
    <w:rsid w:val="19F73F01"/>
    <w:rsid w:val="19F811CC"/>
    <w:rsid w:val="19FB2227"/>
    <w:rsid w:val="1A571118"/>
    <w:rsid w:val="1A5D2B7B"/>
    <w:rsid w:val="1A601D69"/>
    <w:rsid w:val="1A6266AA"/>
    <w:rsid w:val="1A755764"/>
    <w:rsid w:val="1AF63A1E"/>
    <w:rsid w:val="1B2223A4"/>
    <w:rsid w:val="1B5818E3"/>
    <w:rsid w:val="1B5E1503"/>
    <w:rsid w:val="1B7162DC"/>
    <w:rsid w:val="1B8B11CD"/>
    <w:rsid w:val="1BEA7FEB"/>
    <w:rsid w:val="1BF055D6"/>
    <w:rsid w:val="1C0C102B"/>
    <w:rsid w:val="1C64756F"/>
    <w:rsid w:val="1C652E15"/>
    <w:rsid w:val="1C893334"/>
    <w:rsid w:val="1CA148D2"/>
    <w:rsid w:val="1CFF6D16"/>
    <w:rsid w:val="1D7940D8"/>
    <w:rsid w:val="1D9B5897"/>
    <w:rsid w:val="1E4C1AE7"/>
    <w:rsid w:val="1E702042"/>
    <w:rsid w:val="1E837D02"/>
    <w:rsid w:val="1EB5717E"/>
    <w:rsid w:val="1EBB29E4"/>
    <w:rsid w:val="1EBE03DC"/>
    <w:rsid w:val="1F185E6D"/>
    <w:rsid w:val="1F5B05A6"/>
    <w:rsid w:val="1F7B37CC"/>
    <w:rsid w:val="1FDC62F1"/>
    <w:rsid w:val="1FDC6E9A"/>
    <w:rsid w:val="1FEA15B7"/>
    <w:rsid w:val="204A64FA"/>
    <w:rsid w:val="20923D71"/>
    <w:rsid w:val="20A64D59"/>
    <w:rsid w:val="20DA4FB3"/>
    <w:rsid w:val="210743EB"/>
    <w:rsid w:val="211D59BC"/>
    <w:rsid w:val="21224FEE"/>
    <w:rsid w:val="21252E7C"/>
    <w:rsid w:val="215238B8"/>
    <w:rsid w:val="2165017C"/>
    <w:rsid w:val="216B4BF9"/>
    <w:rsid w:val="218477E9"/>
    <w:rsid w:val="21EB582F"/>
    <w:rsid w:val="21FB5AAB"/>
    <w:rsid w:val="22115DED"/>
    <w:rsid w:val="2246135A"/>
    <w:rsid w:val="225A3ADD"/>
    <w:rsid w:val="228A7081"/>
    <w:rsid w:val="22AB619B"/>
    <w:rsid w:val="22C975F6"/>
    <w:rsid w:val="22F114CC"/>
    <w:rsid w:val="23046E34"/>
    <w:rsid w:val="236E0751"/>
    <w:rsid w:val="23931F66"/>
    <w:rsid w:val="23EC20D0"/>
    <w:rsid w:val="23F40506"/>
    <w:rsid w:val="23FB319C"/>
    <w:rsid w:val="240F14AA"/>
    <w:rsid w:val="24B443B7"/>
    <w:rsid w:val="24D64800"/>
    <w:rsid w:val="24E16D01"/>
    <w:rsid w:val="255B3BD6"/>
    <w:rsid w:val="2574644A"/>
    <w:rsid w:val="257C060F"/>
    <w:rsid w:val="258C0623"/>
    <w:rsid w:val="265C28CA"/>
    <w:rsid w:val="26DC3C24"/>
    <w:rsid w:val="26E74AA2"/>
    <w:rsid w:val="26F258BD"/>
    <w:rsid w:val="27394565"/>
    <w:rsid w:val="27430C56"/>
    <w:rsid w:val="27431826"/>
    <w:rsid w:val="274A58F9"/>
    <w:rsid w:val="275C0F17"/>
    <w:rsid w:val="275E0753"/>
    <w:rsid w:val="27BF77CD"/>
    <w:rsid w:val="27E17228"/>
    <w:rsid w:val="282A50A7"/>
    <w:rsid w:val="28461C9C"/>
    <w:rsid w:val="28510474"/>
    <w:rsid w:val="28C037FD"/>
    <w:rsid w:val="28D16A10"/>
    <w:rsid w:val="28D746A4"/>
    <w:rsid w:val="29124B13"/>
    <w:rsid w:val="292D32D8"/>
    <w:rsid w:val="29363E33"/>
    <w:rsid w:val="29473080"/>
    <w:rsid w:val="294E134E"/>
    <w:rsid w:val="29D178EC"/>
    <w:rsid w:val="29D669D0"/>
    <w:rsid w:val="29EA278F"/>
    <w:rsid w:val="2A68541E"/>
    <w:rsid w:val="2A6B1A80"/>
    <w:rsid w:val="2A7A19EC"/>
    <w:rsid w:val="2AA84549"/>
    <w:rsid w:val="2AAE308B"/>
    <w:rsid w:val="2AC60E73"/>
    <w:rsid w:val="2AD772CF"/>
    <w:rsid w:val="2AFE6FEE"/>
    <w:rsid w:val="2B0D2FFD"/>
    <w:rsid w:val="2B163F77"/>
    <w:rsid w:val="2B5A3327"/>
    <w:rsid w:val="2B717374"/>
    <w:rsid w:val="2B77216D"/>
    <w:rsid w:val="2B981C60"/>
    <w:rsid w:val="2B9845BD"/>
    <w:rsid w:val="2C1B6F9C"/>
    <w:rsid w:val="2C215238"/>
    <w:rsid w:val="2C562AC1"/>
    <w:rsid w:val="2C6875EB"/>
    <w:rsid w:val="2C756C58"/>
    <w:rsid w:val="2CA45FE4"/>
    <w:rsid w:val="2CBE62A5"/>
    <w:rsid w:val="2CE83322"/>
    <w:rsid w:val="2D3E5DC6"/>
    <w:rsid w:val="2D4F45D2"/>
    <w:rsid w:val="2D5E3060"/>
    <w:rsid w:val="2D6B454C"/>
    <w:rsid w:val="2DBB0A37"/>
    <w:rsid w:val="2DFE26D1"/>
    <w:rsid w:val="2E2631D9"/>
    <w:rsid w:val="2E641899"/>
    <w:rsid w:val="2E903C71"/>
    <w:rsid w:val="2E9637FB"/>
    <w:rsid w:val="2EA9088F"/>
    <w:rsid w:val="2EBA007F"/>
    <w:rsid w:val="2ECD025A"/>
    <w:rsid w:val="2EF41BF8"/>
    <w:rsid w:val="2F3D4E02"/>
    <w:rsid w:val="30260B7F"/>
    <w:rsid w:val="30275F10"/>
    <w:rsid w:val="3031392B"/>
    <w:rsid w:val="30467F5A"/>
    <w:rsid w:val="308C6E4F"/>
    <w:rsid w:val="30C4531F"/>
    <w:rsid w:val="30F027A5"/>
    <w:rsid w:val="310149B3"/>
    <w:rsid w:val="311A68F6"/>
    <w:rsid w:val="314B6FB4"/>
    <w:rsid w:val="31552F50"/>
    <w:rsid w:val="318016CE"/>
    <w:rsid w:val="31F6028F"/>
    <w:rsid w:val="3253123E"/>
    <w:rsid w:val="32611A9B"/>
    <w:rsid w:val="32807B59"/>
    <w:rsid w:val="32A23F73"/>
    <w:rsid w:val="32C96DF3"/>
    <w:rsid w:val="33811DDB"/>
    <w:rsid w:val="339E298D"/>
    <w:rsid w:val="33A71696"/>
    <w:rsid w:val="34627E5E"/>
    <w:rsid w:val="346B6461"/>
    <w:rsid w:val="34AE6527"/>
    <w:rsid w:val="34C240DD"/>
    <w:rsid w:val="34D171B4"/>
    <w:rsid w:val="34F23D20"/>
    <w:rsid w:val="352D6450"/>
    <w:rsid w:val="35727C2D"/>
    <w:rsid w:val="35B87BF9"/>
    <w:rsid w:val="35BA1682"/>
    <w:rsid w:val="35D26569"/>
    <w:rsid w:val="35D678FE"/>
    <w:rsid w:val="35EA010B"/>
    <w:rsid w:val="366A3D9B"/>
    <w:rsid w:val="36875A4D"/>
    <w:rsid w:val="36B50719"/>
    <w:rsid w:val="370776F7"/>
    <w:rsid w:val="371301DD"/>
    <w:rsid w:val="375A6BCB"/>
    <w:rsid w:val="37916477"/>
    <w:rsid w:val="37C8447C"/>
    <w:rsid w:val="380134EA"/>
    <w:rsid w:val="382B3A37"/>
    <w:rsid w:val="382B7F3F"/>
    <w:rsid w:val="382E0F5A"/>
    <w:rsid w:val="384E571C"/>
    <w:rsid w:val="38802D57"/>
    <w:rsid w:val="38B44A00"/>
    <w:rsid w:val="38D656B1"/>
    <w:rsid w:val="39047244"/>
    <w:rsid w:val="390E705C"/>
    <w:rsid w:val="392261F2"/>
    <w:rsid w:val="393B0A27"/>
    <w:rsid w:val="39C21B3B"/>
    <w:rsid w:val="39C40C73"/>
    <w:rsid w:val="3A877D7C"/>
    <w:rsid w:val="3A883CFC"/>
    <w:rsid w:val="3A942AC1"/>
    <w:rsid w:val="3AB5555E"/>
    <w:rsid w:val="3ABB3E24"/>
    <w:rsid w:val="3AFB67D0"/>
    <w:rsid w:val="3B2C087E"/>
    <w:rsid w:val="3B6256D9"/>
    <w:rsid w:val="3BDA0B76"/>
    <w:rsid w:val="3BF53366"/>
    <w:rsid w:val="3C5B0319"/>
    <w:rsid w:val="3CA01D7B"/>
    <w:rsid w:val="3CBA0ADF"/>
    <w:rsid w:val="3CE13C11"/>
    <w:rsid w:val="3CE53C84"/>
    <w:rsid w:val="3CF4361D"/>
    <w:rsid w:val="3DDD2246"/>
    <w:rsid w:val="3DE36F8D"/>
    <w:rsid w:val="3DF8538F"/>
    <w:rsid w:val="3E1B5A56"/>
    <w:rsid w:val="3E1D6BA4"/>
    <w:rsid w:val="3E661FA2"/>
    <w:rsid w:val="3E9D1972"/>
    <w:rsid w:val="3EA42E21"/>
    <w:rsid w:val="3EB07A18"/>
    <w:rsid w:val="3EE004CF"/>
    <w:rsid w:val="3FBE3792"/>
    <w:rsid w:val="3FC9301C"/>
    <w:rsid w:val="404062F9"/>
    <w:rsid w:val="408B6047"/>
    <w:rsid w:val="40BF2194"/>
    <w:rsid w:val="411F64C6"/>
    <w:rsid w:val="41572F0D"/>
    <w:rsid w:val="41601904"/>
    <w:rsid w:val="41624E91"/>
    <w:rsid w:val="41626A2C"/>
    <w:rsid w:val="418C651A"/>
    <w:rsid w:val="41AA074E"/>
    <w:rsid w:val="41BA5BB0"/>
    <w:rsid w:val="41D12005"/>
    <w:rsid w:val="422E4F77"/>
    <w:rsid w:val="4231312C"/>
    <w:rsid w:val="42596D67"/>
    <w:rsid w:val="42612D9A"/>
    <w:rsid w:val="427A6373"/>
    <w:rsid w:val="42850411"/>
    <w:rsid w:val="428B180F"/>
    <w:rsid w:val="437E72C2"/>
    <w:rsid w:val="43853221"/>
    <w:rsid w:val="439D001B"/>
    <w:rsid w:val="43A619B6"/>
    <w:rsid w:val="43B0612D"/>
    <w:rsid w:val="43B119B5"/>
    <w:rsid w:val="43B55CF6"/>
    <w:rsid w:val="441F4BA4"/>
    <w:rsid w:val="442C4D39"/>
    <w:rsid w:val="44555C1F"/>
    <w:rsid w:val="445E22D4"/>
    <w:rsid w:val="446E1F07"/>
    <w:rsid w:val="44BD1779"/>
    <w:rsid w:val="44E31465"/>
    <w:rsid w:val="452E64B1"/>
    <w:rsid w:val="454832CC"/>
    <w:rsid w:val="45623C0E"/>
    <w:rsid w:val="45C60608"/>
    <w:rsid w:val="460C6001"/>
    <w:rsid w:val="462207D9"/>
    <w:rsid w:val="467315C3"/>
    <w:rsid w:val="46DA3884"/>
    <w:rsid w:val="46E81F0D"/>
    <w:rsid w:val="47055DA6"/>
    <w:rsid w:val="478F0B12"/>
    <w:rsid w:val="479B74B7"/>
    <w:rsid w:val="47A04C96"/>
    <w:rsid w:val="47BD0FAF"/>
    <w:rsid w:val="47E83ECD"/>
    <w:rsid w:val="48254FD3"/>
    <w:rsid w:val="48A701C0"/>
    <w:rsid w:val="48A979B2"/>
    <w:rsid w:val="495F62C2"/>
    <w:rsid w:val="496A3929"/>
    <w:rsid w:val="49865F45"/>
    <w:rsid w:val="498D72D3"/>
    <w:rsid w:val="49B20AE8"/>
    <w:rsid w:val="4A262405"/>
    <w:rsid w:val="4A3D5D50"/>
    <w:rsid w:val="4A44648C"/>
    <w:rsid w:val="4A5B5C67"/>
    <w:rsid w:val="4A9428CE"/>
    <w:rsid w:val="4A993A56"/>
    <w:rsid w:val="4A9E10CD"/>
    <w:rsid w:val="4AA37381"/>
    <w:rsid w:val="4B051CBF"/>
    <w:rsid w:val="4B1148E0"/>
    <w:rsid w:val="4B263129"/>
    <w:rsid w:val="4B2C3A87"/>
    <w:rsid w:val="4B571B67"/>
    <w:rsid w:val="4B8A6D8D"/>
    <w:rsid w:val="4BB328F5"/>
    <w:rsid w:val="4BD51B4B"/>
    <w:rsid w:val="4BF23273"/>
    <w:rsid w:val="4C0154C1"/>
    <w:rsid w:val="4C3925A5"/>
    <w:rsid w:val="4C602A7D"/>
    <w:rsid w:val="4C9C090C"/>
    <w:rsid w:val="4CA36152"/>
    <w:rsid w:val="4CC76658"/>
    <w:rsid w:val="4D5438C5"/>
    <w:rsid w:val="4D69733A"/>
    <w:rsid w:val="4D831F80"/>
    <w:rsid w:val="4D843BE6"/>
    <w:rsid w:val="4D9A02AD"/>
    <w:rsid w:val="4DDE6FFC"/>
    <w:rsid w:val="4E0136C2"/>
    <w:rsid w:val="4E34765B"/>
    <w:rsid w:val="4E3D1BEF"/>
    <w:rsid w:val="4F190AA5"/>
    <w:rsid w:val="4F2064F4"/>
    <w:rsid w:val="4F270394"/>
    <w:rsid w:val="4F3C7A26"/>
    <w:rsid w:val="4F4F1BED"/>
    <w:rsid w:val="4F595EC3"/>
    <w:rsid w:val="4F8C149A"/>
    <w:rsid w:val="4F901C86"/>
    <w:rsid w:val="4F9D7B44"/>
    <w:rsid w:val="4FA9473B"/>
    <w:rsid w:val="4FAB6886"/>
    <w:rsid w:val="4FBE5581"/>
    <w:rsid w:val="4FF77255"/>
    <w:rsid w:val="50033B1D"/>
    <w:rsid w:val="501D11D0"/>
    <w:rsid w:val="5038161B"/>
    <w:rsid w:val="507C59CD"/>
    <w:rsid w:val="509A7D59"/>
    <w:rsid w:val="50B31369"/>
    <w:rsid w:val="50DC25B1"/>
    <w:rsid w:val="51094138"/>
    <w:rsid w:val="520E78A4"/>
    <w:rsid w:val="5237602E"/>
    <w:rsid w:val="524B3888"/>
    <w:rsid w:val="52A82A88"/>
    <w:rsid w:val="52AF36A0"/>
    <w:rsid w:val="52B274EB"/>
    <w:rsid w:val="52C92CAE"/>
    <w:rsid w:val="52E11E2A"/>
    <w:rsid w:val="52FE2E6A"/>
    <w:rsid w:val="531D4237"/>
    <w:rsid w:val="53322F76"/>
    <w:rsid w:val="533E33EC"/>
    <w:rsid w:val="536535B0"/>
    <w:rsid w:val="53802F12"/>
    <w:rsid w:val="53F91BFD"/>
    <w:rsid w:val="541845D1"/>
    <w:rsid w:val="541F32EB"/>
    <w:rsid w:val="54335F95"/>
    <w:rsid w:val="54534C76"/>
    <w:rsid w:val="547F5A6B"/>
    <w:rsid w:val="550A0036"/>
    <w:rsid w:val="55363F72"/>
    <w:rsid w:val="556E5915"/>
    <w:rsid w:val="559533C8"/>
    <w:rsid w:val="55E55F14"/>
    <w:rsid w:val="55F068E1"/>
    <w:rsid w:val="56187501"/>
    <w:rsid w:val="564B1F53"/>
    <w:rsid w:val="56591912"/>
    <w:rsid w:val="56727B8D"/>
    <w:rsid w:val="56B41BEA"/>
    <w:rsid w:val="5713758E"/>
    <w:rsid w:val="573A4F5B"/>
    <w:rsid w:val="579E445A"/>
    <w:rsid w:val="57B3169E"/>
    <w:rsid w:val="57F6293E"/>
    <w:rsid w:val="57FB2C40"/>
    <w:rsid w:val="5817772A"/>
    <w:rsid w:val="58212288"/>
    <w:rsid w:val="583574B9"/>
    <w:rsid w:val="58476A3C"/>
    <w:rsid w:val="587A1493"/>
    <w:rsid w:val="58F06F37"/>
    <w:rsid w:val="5954795C"/>
    <w:rsid w:val="59796F2C"/>
    <w:rsid w:val="59983BA5"/>
    <w:rsid w:val="59CF0A18"/>
    <w:rsid w:val="59D8532A"/>
    <w:rsid w:val="59DE1485"/>
    <w:rsid w:val="5A5A5442"/>
    <w:rsid w:val="5A67147B"/>
    <w:rsid w:val="5AA92E61"/>
    <w:rsid w:val="5AB32454"/>
    <w:rsid w:val="5ADF1011"/>
    <w:rsid w:val="5ADF7263"/>
    <w:rsid w:val="5B0C6536"/>
    <w:rsid w:val="5B241E4A"/>
    <w:rsid w:val="5B29064F"/>
    <w:rsid w:val="5B500161"/>
    <w:rsid w:val="5B554255"/>
    <w:rsid w:val="5B6B4F9B"/>
    <w:rsid w:val="5B7E1633"/>
    <w:rsid w:val="5B8F0C89"/>
    <w:rsid w:val="5BCE46F1"/>
    <w:rsid w:val="5C22347D"/>
    <w:rsid w:val="5C420295"/>
    <w:rsid w:val="5C4D57D1"/>
    <w:rsid w:val="5C58107B"/>
    <w:rsid w:val="5CA44369"/>
    <w:rsid w:val="5CA73DB1"/>
    <w:rsid w:val="5CBE6BB0"/>
    <w:rsid w:val="5CCF127B"/>
    <w:rsid w:val="5CEC68FF"/>
    <w:rsid w:val="5D0D3AE9"/>
    <w:rsid w:val="5D2135BA"/>
    <w:rsid w:val="5D80391B"/>
    <w:rsid w:val="5DC15346"/>
    <w:rsid w:val="5DD46277"/>
    <w:rsid w:val="5DE80B25"/>
    <w:rsid w:val="5DFB7366"/>
    <w:rsid w:val="5E25343B"/>
    <w:rsid w:val="5E6D01C1"/>
    <w:rsid w:val="5E787F5F"/>
    <w:rsid w:val="5EFD4B4E"/>
    <w:rsid w:val="5F7D6413"/>
    <w:rsid w:val="5F841BA5"/>
    <w:rsid w:val="5F903646"/>
    <w:rsid w:val="5FAA6092"/>
    <w:rsid w:val="5FD077E1"/>
    <w:rsid w:val="5FF93D6F"/>
    <w:rsid w:val="600E7223"/>
    <w:rsid w:val="607B537D"/>
    <w:rsid w:val="60E41AF9"/>
    <w:rsid w:val="610A54C4"/>
    <w:rsid w:val="611D1A4C"/>
    <w:rsid w:val="61220F09"/>
    <w:rsid w:val="613F1DAA"/>
    <w:rsid w:val="61447E20"/>
    <w:rsid w:val="61BC3A36"/>
    <w:rsid w:val="628A2282"/>
    <w:rsid w:val="62A31046"/>
    <w:rsid w:val="62B02D2B"/>
    <w:rsid w:val="62DD3E94"/>
    <w:rsid w:val="62E93375"/>
    <w:rsid w:val="633D6116"/>
    <w:rsid w:val="634E6244"/>
    <w:rsid w:val="63D607EC"/>
    <w:rsid w:val="63DD40D1"/>
    <w:rsid w:val="63EC238B"/>
    <w:rsid w:val="63F61A50"/>
    <w:rsid w:val="64307ECC"/>
    <w:rsid w:val="644A69E2"/>
    <w:rsid w:val="645E569D"/>
    <w:rsid w:val="6498184A"/>
    <w:rsid w:val="64E01C96"/>
    <w:rsid w:val="655376C7"/>
    <w:rsid w:val="658C509C"/>
    <w:rsid w:val="65A855DB"/>
    <w:rsid w:val="65AB4911"/>
    <w:rsid w:val="65BB2BA6"/>
    <w:rsid w:val="65D33E68"/>
    <w:rsid w:val="65F95C3F"/>
    <w:rsid w:val="662C0331"/>
    <w:rsid w:val="66430FEE"/>
    <w:rsid w:val="66664CDC"/>
    <w:rsid w:val="66855912"/>
    <w:rsid w:val="668F7491"/>
    <w:rsid w:val="66BD4EB0"/>
    <w:rsid w:val="67043572"/>
    <w:rsid w:val="67095289"/>
    <w:rsid w:val="67354E70"/>
    <w:rsid w:val="674B4F1D"/>
    <w:rsid w:val="675B29A9"/>
    <w:rsid w:val="67724319"/>
    <w:rsid w:val="67B2762E"/>
    <w:rsid w:val="67B6134C"/>
    <w:rsid w:val="67B73210"/>
    <w:rsid w:val="68134889"/>
    <w:rsid w:val="681948AA"/>
    <w:rsid w:val="68647399"/>
    <w:rsid w:val="69067023"/>
    <w:rsid w:val="690A5DF3"/>
    <w:rsid w:val="692F54EF"/>
    <w:rsid w:val="69E5416A"/>
    <w:rsid w:val="6A031585"/>
    <w:rsid w:val="6A0B3A09"/>
    <w:rsid w:val="6AF07E5C"/>
    <w:rsid w:val="6B0366B5"/>
    <w:rsid w:val="6B1765A5"/>
    <w:rsid w:val="6B3929BF"/>
    <w:rsid w:val="6B6F4633"/>
    <w:rsid w:val="6B725148"/>
    <w:rsid w:val="6B8974A3"/>
    <w:rsid w:val="6B9B4240"/>
    <w:rsid w:val="6BD25978"/>
    <w:rsid w:val="6BD526E8"/>
    <w:rsid w:val="6BF3491C"/>
    <w:rsid w:val="6C3D203B"/>
    <w:rsid w:val="6C733C7B"/>
    <w:rsid w:val="6C856F28"/>
    <w:rsid w:val="6C87555A"/>
    <w:rsid w:val="6CDD5E24"/>
    <w:rsid w:val="6CF3719C"/>
    <w:rsid w:val="6CF55C76"/>
    <w:rsid w:val="6D025EA5"/>
    <w:rsid w:val="6D090170"/>
    <w:rsid w:val="6D175C58"/>
    <w:rsid w:val="6D2E4DFF"/>
    <w:rsid w:val="6D373480"/>
    <w:rsid w:val="6D3E606B"/>
    <w:rsid w:val="6D3F2940"/>
    <w:rsid w:val="6D5A72DC"/>
    <w:rsid w:val="6D716441"/>
    <w:rsid w:val="6D8A4EBF"/>
    <w:rsid w:val="6DA53A14"/>
    <w:rsid w:val="6DB351EB"/>
    <w:rsid w:val="6DF204F3"/>
    <w:rsid w:val="6E001573"/>
    <w:rsid w:val="6E3A2CD6"/>
    <w:rsid w:val="6E475644"/>
    <w:rsid w:val="6E5617BA"/>
    <w:rsid w:val="6EA6211A"/>
    <w:rsid w:val="6EE67CCA"/>
    <w:rsid w:val="6EFC1D3A"/>
    <w:rsid w:val="6F4C38B0"/>
    <w:rsid w:val="6F9D246D"/>
    <w:rsid w:val="6FC82564"/>
    <w:rsid w:val="6FFE32A4"/>
    <w:rsid w:val="702E0199"/>
    <w:rsid w:val="704020FA"/>
    <w:rsid w:val="70591DD0"/>
    <w:rsid w:val="707D63C6"/>
    <w:rsid w:val="707F2C23"/>
    <w:rsid w:val="70B76860"/>
    <w:rsid w:val="70EA0155"/>
    <w:rsid w:val="70F82840"/>
    <w:rsid w:val="71146D40"/>
    <w:rsid w:val="71273FBF"/>
    <w:rsid w:val="712F2AE3"/>
    <w:rsid w:val="714A1E12"/>
    <w:rsid w:val="714D2D21"/>
    <w:rsid w:val="71593474"/>
    <w:rsid w:val="717500AF"/>
    <w:rsid w:val="71791EB6"/>
    <w:rsid w:val="71AD0E38"/>
    <w:rsid w:val="71E2147B"/>
    <w:rsid w:val="721B4BCD"/>
    <w:rsid w:val="72354369"/>
    <w:rsid w:val="7242215A"/>
    <w:rsid w:val="729A2AC4"/>
    <w:rsid w:val="72CD034A"/>
    <w:rsid w:val="72FC49FE"/>
    <w:rsid w:val="731D15DD"/>
    <w:rsid w:val="732D2F7E"/>
    <w:rsid w:val="73357A85"/>
    <w:rsid w:val="73562E71"/>
    <w:rsid w:val="735F6D3B"/>
    <w:rsid w:val="73A35574"/>
    <w:rsid w:val="73B85052"/>
    <w:rsid w:val="73C43F89"/>
    <w:rsid w:val="73DE2356"/>
    <w:rsid w:val="740A0871"/>
    <w:rsid w:val="741928B0"/>
    <w:rsid w:val="74745F38"/>
    <w:rsid w:val="747C07F8"/>
    <w:rsid w:val="74B41485"/>
    <w:rsid w:val="74BC6411"/>
    <w:rsid w:val="74BD74A3"/>
    <w:rsid w:val="74C72F0F"/>
    <w:rsid w:val="74E47889"/>
    <w:rsid w:val="754A4BAA"/>
    <w:rsid w:val="75A06C1D"/>
    <w:rsid w:val="75FB7CCB"/>
    <w:rsid w:val="76024001"/>
    <w:rsid w:val="76084B2A"/>
    <w:rsid w:val="76156A73"/>
    <w:rsid w:val="7692014A"/>
    <w:rsid w:val="76D637B8"/>
    <w:rsid w:val="76DA2E36"/>
    <w:rsid w:val="76FA3416"/>
    <w:rsid w:val="772334A7"/>
    <w:rsid w:val="773402ED"/>
    <w:rsid w:val="775546DD"/>
    <w:rsid w:val="775768CE"/>
    <w:rsid w:val="776F1BD1"/>
    <w:rsid w:val="77911731"/>
    <w:rsid w:val="77DB0C7A"/>
    <w:rsid w:val="7830022C"/>
    <w:rsid w:val="78314EB6"/>
    <w:rsid w:val="784D3E62"/>
    <w:rsid w:val="78597C58"/>
    <w:rsid w:val="78782D79"/>
    <w:rsid w:val="78805543"/>
    <w:rsid w:val="789C3E9E"/>
    <w:rsid w:val="78D960E1"/>
    <w:rsid w:val="78E30D49"/>
    <w:rsid w:val="79183C14"/>
    <w:rsid w:val="792D62C5"/>
    <w:rsid w:val="7934162F"/>
    <w:rsid w:val="798015A7"/>
    <w:rsid w:val="79AB4A75"/>
    <w:rsid w:val="7A003C83"/>
    <w:rsid w:val="7A131C5F"/>
    <w:rsid w:val="7A1872BC"/>
    <w:rsid w:val="7A3F7FF9"/>
    <w:rsid w:val="7A4153ED"/>
    <w:rsid w:val="7A5C10C2"/>
    <w:rsid w:val="7A651523"/>
    <w:rsid w:val="7A965964"/>
    <w:rsid w:val="7AA339B1"/>
    <w:rsid w:val="7AA82B8E"/>
    <w:rsid w:val="7AC83418"/>
    <w:rsid w:val="7B0D6427"/>
    <w:rsid w:val="7B14665D"/>
    <w:rsid w:val="7B280AA9"/>
    <w:rsid w:val="7B3C5E5F"/>
    <w:rsid w:val="7B57738A"/>
    <w:rsid w:val="7B713AB0"/>
    <w:rsid w:val="7B9361BD"/>
    <w:rsid w:val="7BB03503"/>
    <w:rsid w:val="7BDD2EF3"/>
    <w:rsid w:val="7C261B4E"/>
    <w:rsid w:val="7C624730"/>
    <w:rsid w:val="7C9E2682"/>
    <w:rsid w:val="7CBC390D"/>
    <w:rsid w:val="7CC0084B"/>
    <w:rsid w:val="7CC70628"/>
    <w:rsid w:val="7CD0642F"/>
    <w:rsid w:val="7CD57A6A"/>
    <w:rsid w:val="7CF16C56"/>
    <w:rsid w:val="7D49023B"/>
    <w:rsid w:val="7D6531A0"/>
    <w:rsid w:val="7D6D3057"/>
    <w:rsid w:val="7D7D3011"/>
    <w:rsid w:val="7D9664E6"/>
    <w:rsid w:val="7D9B0D1C"/>
    <w:rsid w:val="7DCC321F"/>
    <w:rsid w:val="7DF23189"/>
    <w:rsid w:val="7DFF28AB"/>
    <w:rsid w:val="7E0C7AC0"/>
    <w:rsid w:val="7EB44F6F"/>
    <w:rsid w:val="7EE20565"/>
    <w:rsid w:val="7EF75194"/>
    <w:rsid w:val="7F1E3F4E"/>
    <w:rsid w:val="7F316E1E"/>
    <w:rsid w:val="7F55E2A6"/>
    <w:rsid w:val="7F7144BD"/>
    <w:rsid w:val="7F7733B6"/>
    <w:rsid w:val="7FA077D6"/>
    <w:rsid w:val="7FFB1201"/>
    <w:rsid w:val="7FFF9156"/>
    <w:rsid w:val="9FFB90F1"/>
    <w:rsid w:val="BF3FDF39"/>
    <w:rsid w:val="F6F1D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adjustRightInd w:val="0"/>
      <w:snapToGrid w:val="0"/>
      <w:spacing w:beforeLines="50" w:afterLines="50" w:line="440" w:lineRule="exact"/>
      <w:ind w:firstLine="560" w:firstLineChars="200"/>
      <w:outlineLvl w:val="2"/>
    </w:pPr>
    <w:rPr>
      <w:rFonts w:ascii="黑体" w:hAnsi="黑体" w:eastAsia="黑体"/>
      <w:bCs/>
      <w:sz w:val="28"/>
      <w:szCs w:val="3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w:basedOn w:val="1"/>
    <w:next w:val="4"/>
    <w:qFormat/>
    <w:uiPriority w:val="1"/>
    <w:pPr>
      <w:autoSpaceDE w:val="0"/>
      <w:autoSpaceDN w:val="0"/>
      <w:spacing w:line="240" w:lineRule="auto"/>
      <w:ind w:left="20" w:firstLine="0" w:firstLineChars="0"/>
      <w:jc w:val="left"/>
    </w:pPr>
    <w:rPr>
      <w:rFonts w:cs="宋体"/>
      <w:kern w:val="0"/>
      <w:szCs w:val="28"/>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adjustRightInd w:val="0"/>
      <w:spacing w:line="410" w:lineRule="atLeast"/>
      <w:jc w:val="left"/>
      <w:textAlignment w:val="baseline"/>
    </w:pPr>
    <w:rPr>
      <w:rFonts w:ascii="宋体"/>
      <w:kern w:val="0"/>
      <w:sz w:val="24"/>
      <w:szCs w:val="20"/>
    </w:rPr>
  </w:style>
  <w:style w:type="paragraph" w:styleId="8">
    <w:name w:val="Normal Indent"/>
    <w:basedOn w:val="1"/>
    <w:next w:val="1"/>
    <w:semiHidden/>
    <w:unhideWhenUsed/>
    <w:qFormat/>
    <w:uiPriority w:val="99"/>
    <w:pPr>
      <w:ind w:firstLine="420"/>
    </w:p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annotation text"/>
    <w:basedOn w:val="1"/>
    <w:semiHidden/>
    <w:unhideWhenUsed/>
    <w:qFormat/>
    <w:uiPriority w:val="99"/>
    <w:pPr>
      <w:jc w:val="left"/>
    </w:pPr>
  </w:style>
  <w:style w:type="paragraph" w:styleId="11">
    <w:name w:val="toc 3"/>
    <w:basedOn w:val="1"/>
    <w:next w:val="1"/>
    <w:unhideWhenUsed/>
    <w:qFormat/>
    <w:uiPriority w:val="39"/>
    <w:pPr>
      <w:ind w:left="840" w:leftChars="400"/>
    </w:pPr>
  </w:style>
  <w:style w:type="paragraph" w:styleId="12">
    <w:name w:val="Date"/>
    <w:basedOn w:val="1"/>
    <w:next w:val="1"/>
    <w:link w:val="29"/>
    <w:semiHidden/>
    <w:unhideWhenUsed/>
    <w:qFormat/>
    <w:uiPriority w:val="99"/>
    <w:pPr>
      <w:ind w:left="100" w:leftChars="2500"/>
    </w:p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2"/>
    <w:basedOn w:val="1"/>
    <w:next w:val="1"/>
    <w:unhideWhenUsed/>
    <w:qFormat/>
    <w:uiPriority w:val="39"/>
    <w:pPr>
      <w:ind w:left="210"/>
      <w:jc w:val="left"/>
    </w:pPr>
    <w:rPr>
      <w:smallCaps/>
      <w:sz w:val="20"/>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3"/>
    <w:qFormat/>
    <w:uiPriority w:val="0"/>
    <w:pPr>
      <w:ind w:firstLine="0" w:firstLineChars="0"/>
    </w:p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semiHidden/>
    <w:unhideWhenUsed/>
    <w:qFormat/>
    <w:uiPriority w:val="99"/>
    <w:rPr>
      <w:color w:val="0000FF"/>
      <w:u w:val="single"/>
    </w:rPr>
  </w:style>
  <w:style w:type="paragraph" w:customStyle="1" w:styleId="25">
    <w:name w:val="Fließtext"/>
    <w:basedOn w:val="1"/>
    <w:qFormat/>
    <w:uiPriority w:val="99"/>
    <w:pPr>
      <w:overflowPunct w:val="0"/>
      <w:autoSpaceDE w:val="0"/>
      <w:autoSpaceDN w:val="0"/>
      <w:adjustRightInd w:val="0"/>
      <w:textAlignment w:val="baseline"/>
    </w:pPr>
    <w:rPr>
      <w:kern w:val="28"/>
      <w:szCs w:val="20"/>
    </w:rPr>
  </w:style>
  <w:style w:type="paragraph" w:styleId="26">
    <w:name w:val="List Paragraph"/>
    <w:basedOn w:val="1"/>
    <w:qFormat/>
    <w:uiPriority w:val="34"/>
    <w:pPr>
      <w:ind w:firstLine="420" w:firstLineChars="200"/>
    </w:pPr>
  </w:style>
  <w:style w:type="character" w:customStyle="1" w:styleId="27">
    <w:name w:val="页眉 字符"/>
    <w:basedOn w:val="21"/>
    <w:link w:val="14"/>
    <w:qFormat/>
    <w:uiPriority w:val="99"/>
    <w:rPr>
      <w:sz w:val="18"/>
      <w:szCs w:val="18"/>
    </w:rPr>
  </w:style>
  <w:style w:type="character" w:customStyle="1" w:styleId="28">
    <w:name w:val="页脚 字符"/>
    <w:basedOn w:val="21"/>
    <w:link w:val="13"/>
    <w:qFormat/>
    <w:uiPriority w:val="99"/>
    <w:rPr>
      <w:sz w:val="18"/>
      <w:szCs w:val="18"/>
    </w:rPr>
  </w:style>
  <w:style w:type="character" w:customStyle="1" w:styleId="29">
    <w:name w:val="日期 字符"/>
    <w:basedOn w:val="21"/>
    <w:link w:val="12"/>
    <w:semiHidden/>
    <w:qFormat/>
    <w:uiPriority w:val="99"/>
  </w:style>
  <w:style w:type="table" w:customStyle="1" w:styleId="30">
    <w:name w:val="网格型1"/>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 w:type="character" w:customStyle="1" w:styleId="34">
    <w:name w:val="src"/>
    <w:qFormat/>
    <w:uiPriority w:val="0"/>
  </w:style>
  <w:style w:type="paragraph" w:customStyle="1" w:styleId="35">
    <w:name w:val="样式1"/>
    <w:basedOn w:val="1"/>
    <w:next w:val="1"/>
    <w:qFormat/>
    <w:uiPriority w:val="0"/>
    <w:pPr>
      <w:keepNext/>
      <w:keepLines/>
      <w:spacing w:before="120" w:after="120" w:line="360" w:lineRule="auto"/>
      <w:outlineLvl w:val="0"/>
    </w:pPr>
    <w:rPr>
      <w:rFonts w:hint="eastAsia" w:ascii="黑体" w:hAnsi="黑体" w:eastAsia="黑体" w:cstheme="majorBidi"/>
      <w:b/>
      <w:b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12241</Words>
  <Characters>12635</Characters>
  <Lines>4</Lines>
  <Paragraphs>1</Paragraphs>
  <TotalTime>12</TotalTime>
  <ScaleCrop>false</ScaleCrop>
  <LinksUpToDate>false</LinksUpToDate>
  <CharactersWithSpaces>12805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2018-12-27T07:21:00Z</dcterms:created>
  <dc:creator>Windows 用户</dc:creator>
  <cp:lastModifiedBy>吴小懒</cp:lastModifiedBy>
  <cp:lastPrinted>2024-05-14T08:12:00Z</cp:lastPrinted>
  <dcterms:modified xsi:type="dcterms:W3CDTF">2025-09-18T07:55:12Z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AA70D4DA98194314B0EC8226D530DD87_13</vt:lpwstr>
  </property>
  <property fmtid="{D5CDD505-2E9C-101B-9397-08002B2CF9AE}" pid="4" name="KSOTemplateDocerSaveRecord">
    <vt:lpwstr>eyJoZGlkIjoiNTg3NDgyZjJjNjkzYTVkZDMwNWFhODRiMzEzZTI0MDgiLCJ1c2VySWQiOiI3NDMyNTM1MzkifQ==</vt:lpwstr>
  </property>
</Properties>
</file>